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4000" w:rsidRDefault="00BC43F3">
      <w:pPr>
        <w:spacing w:before="1200" w:after="2400"/>
        <w:jc w:val="center"/>
        <w:rPr>
          <w:rFonts w:ascii="Calibri" w:eastAsia="Calibri" w:hAnsi="Calibri" w:cs="Calibri"/>
          <w:b/>
          <w:bCs/>
          <w:sz w:val="36"/>
          <w:szCs w:val="36"/>
        </w:rPr>
      </w:pPr>
      <w:r>
        <w:rPr>
          <w:rFonts w:ascii="Calibri" w:eastAsia="Calibri" w:hAnsi="Calibri" w:cs="Calibri"/>
          <w:b/>
          <w:bCs/>
          <w:sz w:val="36"/>
          <w:szCs w:val="36"/>
        </w:rPr>
        <w:t>REQUEST FOR QUOTATION</w:t>
      </w:r>
      <w:r>
        <w:rPr>
          <w:rFonts w:ascii="Calibri" w:eastAsia="Calibri" w:hAnsi="Calibri" w:cs="Calibri"/>
          <w:b/>
          <w:bCs/>
          <w:sz w:val="36"/>
          <w:szCs w:val="36"/>
        </w:rPr>
        <w:br/>
        <w:t>SPECIFICATION OF STANDARD GOODS</w:t>
      </w:r>
    </w:p>
    <w:p w:rsidR="006A4000" w:rsidRDefault="00BC43F3">
      <w:pPr>
        <w:tabs>
          <w:tab w:val="left" w:pos="2835"/>
        </w:tabs>
        <w:spacing w:before="240" w:after="240"/>
        <w:ind w:left="2835" w:hanging="2835"/>
        <w:jc w:val="center"/>
      </w:pPr>
      <w:r>
        <w:rPr>
          <w:b/>
          <w:bCs/>
        </w:rPr>
        <w:t>Procurement No:</w:t>
      </w:r>
      <w:r w:rsidR="007467D3">
        <w:rPr>
          <w:b/>
          <w:bCs/>
        </w:rPr>
        <w:t xml:space="preserve"> </w:t>
      </w:r>
      <w:r w:rsidR="007467D3">
        <w:rPr>
          <w:b/>
          <w:color w:val="222222"/>
          <w:shd w:val="clear" w:color="auto" w:fill="FFFFFF"/>
        </w:rPr>
        <w:t>23-SS004-26</w:t>
      </w:r>
      <w:r w:rsidR="007467D3">
        <w:rPr>
          <w:rFonts w:ascii="Arial" w:hAnsi="Arial" w:cs="Arial"/>
          <w:color w:val="222222"/>
          <w:shd w:val="clear" w:color="auto" w:fill="FFFFFF"/>
        </w:rPr>
        <w:t> </w:t>
      </w:r>
      <w:r>
        <w:tab/>
      </w:r>
    </w:p>
    <w:p w:rsidR="006A4000" w:rsidRDefault="00BC43F3">
      <w:pPr>
        <w:tabs>
          <w:tab w:val="left" w:pos="2835"/>
        </w:tabs>
        <w:spacing w:before="240" w:after="240"/>
        <w:ind w:left="2835" w:hanging="2835"/>
        <w:rPr>
          <w:rFonts w:ascii="Calibri" w:eastAsia="Calibri" w:hAnsi="Calibri" w:cs="Calibri"/>
          <w:highlight w:val="yellow"/>
        </w:rPr>
      </w:pPr>
      <w:r>
        <w:br w:type="page"/>
      </w:r>
    </w:p>
    <w:p w:rsidR="006A4000" w:rsidRDefault="00BC43F3">
      <w:pPr>
        <w:pStyle w:val="Heading2"/>
      </w:pPr>
      <w:bookmarkStart w:id="0" w:name="_mo0617wi4zyv" w:colFirst="0" w:colLast="0"/>
      <w:bookmarkEnd w:id="0"/>
      <w:r>
        <w:lastRenderedPageBreak/>
        <w:t>Specification</w:t>
      </w:r>
    </w:p>
    <w:p w:rsidR="006A4000" w:rsidRDefault="00BC43F3">
      <w:pPr>
        <w:pStyle w:val="Heading3"/>
      </w:pPr>
      <w:bookmarkStart w:id="1" w:name="_yzm6afkcbnz" w:colFirst="0" w:colLast="0"/>
      <w:bookmarkEnd w:id="1"/>
      <w:r>
        <w:t>Background</w:t>
      </w:r>
    </w:p>
    <w:p w:rsidR="006A4000" w:rsidRDefault="00BC43F3">
      <w:pPr>
        <w:spacing w:before="240" w:after="240"/>
        <w:rPr>
          <w:highlight w:val="white"/>
        </w:rPr>
      </w:pPr>
      <w:r>
        <w:rPr>
          <w:highlight w:val="white"/>
        </w:rPr>
        <w:t>The repatriation of Senior Secondary School (SSS) students to their home islands is one of the Ministry of Education’s key annual commitments. Providing sea transport for students during school holidays is a longstanding Ministry practice that supports equitable access to education and the effective implementation of free education across Kiribati.</w:t>
      </w:r>
    </w:p>
    <w:p w:rsidR="006A4000" w:rsidRDefault="00BC43F3">
      <w:pPr>
        <w:spacing w:before="240" w:after="240"/>
        <w:rPr>
          <w:highlight w:val="white"/>
        </w:rPr>
      </w:pPr>
      <w:r>
        <w:rPr>
          <w:highlight w:val="white"/>
        </w:rPr>
        <w:t xml:space="preserve">For the 2026 student repatriation </w:t>
      </w:r>
      <w:proofErr w:type="spellStart"/>
      <w:r>
        <w:rPr>
          <w:highlight w:val="white"/>
        </w:rPr>
        <w:t>programme</w:t>
      </w:r>
      <w:proofErr w:type="spellEnd"/>
      <w:r>
        <w:rPr>
          <w:highlight w:val="white"/>
        </w:rPr>
        <w:t>, the Ministry of Education is preparing to undertake a full Request for Quotation (RFQ) process to engage suitable service providers for the required sea transport routes. The RFQ is scheduled to close on 5 November 2026, after which the Ministry will evaluate the quotations received in accordance with the applicable procurement requirements.</w:t>
      </w:r>
    </w:p>
    <w:p w:rsidR="006A4000" w:rsidRDefault="00BC43F3">
      <w:pPr>
        <w:spacing w:before="240" w:after="240"/>
        <w:rPr>
          <w:highlight w:val="white"/>
        </w:rPr>
      </w:pPr>
      <w:r>
        <w:rPr>
          <w:highlight w:val="white"/>
        </w:rPr>
        <w:t>The specifications are intended to clearly outline the required sea transport services, including the designated routes for the repatriation of Senior Secondary School students to their respective home islands. This will support a transparent and competitive procurement process and help ensure that suitable transport services are secured to facilitate the safe and timely return of students to their families during the school holiday period.</w:t>
      </w:r>
    </w:p>
    <w:p w:rsidR="006A4000" w:rsidRDefault="00BC43F3">
      <w:pPr>
        <w:spacing w:before="240" w:after="240"/>
        <w:rPr>
          <w:highlight w:val="white"/>
        </w:rPr>
      </w:pPr>
      <w:r>
        <w:rPr>
          <w:highlight w:val="white"/>
        </w:rPr>
        <w:t xml:space="preserve">The Ministry remains committed to ensuring the successful implementation of the 2026 student repatriation </w:t>
      </w:r>
      <w:proofErr w:type="spellStart"/>
      <w:r>
        <w:rPr>
          <w:highlight w:val="white"/>
        </w:rPr>
        <w:t>programme</w:t>
      </w:r>
      <w:proofErr w:type="spellEnd"/>
      <w:r>
        <w:rPr>
          <w:highlight w:val="white"/>
        </w:rPr>
        <w:t xml:space="preserve"> in support of student welfare and the continued delivery of education services across Kiribati.</w:t>
      </w:r>
    </w:p>
    <w:p w:rsidR="006A4000" w:rsidRDefault="00BC43F3">
      <w:pPr>
        <w:pStyle w:val="Heading3"/>
      </w:pPr>
      <w:bookmarkStart w:id="2" w:name="_l4rgsrql7nbz" w:colFirst="0" w:colLast="0"/>
      <w:bookmarkEnd w:id="2"/>
      <w:r>
        <w:t>Requirements</w:t>
      </w:r>
    </w:p>
    <w:p w:rsidR="006A4000" w:rsidRDefault="00BC43F3">
      <w:bookmarkStart w:id="3" w:name="_c66cuxbd1lse" w:colFirst="0" w:colLast="0"/>
      <w:bookmarkEnd w:id="3"/>
      <w:r>
        <w:t>All supporting documentation must be in English.</w:t>
      </w:r>
    </w:p>
    <w:p w:rsidR="006A4000" w:rsidRDefault="00BC43F3">
      <w:pPr>
        <w:spacing w:before="240" w:after="240"/>
      </w:pPr>
      <w:r>
        <w:t>All supporting documentation must be submitted in English.</w:t>
      </w:r>
    </w:p>
    <w:p w:rsidR="006A4000" w:rsidRDefault="00BC43F3">
      <w:pPr>
        <w:spacing w:before="240" w:after="240"/>
      </w:pPr>
      <w:r>
        <w:t>The assessment of exclusionary criteria will be based on the submission of the following mandatory supporting documents under the Technical Component. Failure to provide any of the required documents may result in the disqualification of the tenderer’s submission.</w:t>
      </w:r>
    </w:p>
    <w:p w:rsidR="006A4000" w:rsidRDefault="00BC43F3">
      <w:pPr>
        <w:numPr>
          <w:ilvl w:val="0"/>
          <w:numId w:val="1"/>
        </w:numPr>
        <w:spacing w:before="240"/>
      </w:pPr>
      <w:r>
        <w:t>Valid vessel registration certificate.</w:t>
      </w:r>
    </w:p>
    <w:p w:rsidR="006A4000" w:rsidRDefault="00BC43F3">
      <w:pPr>
        <w:numPr>
          <w:ilvl w:val="0"/>
          <w:numId w:val="1"/>
        </w:numPr>
        <w:spacing w:before="0"/>
      </w:pPr>
      <w:r>
        <w:t>Valid vessel safety certificate or other relevant certification confirming that the vessel is fit for its intended service.</w:t>
      </w:r>
    </w:p>
    <w:p w:rsidR="006A4000" w:rsidRDefault="00BC43F3">
      <w:pPr>
        <w:numPr>
          <w:ilvl w:val="0"/>
          <w:numId w:val="1"/>
        </w:numPr>
        <w:spacing w:before="0"/>
      </w:pPr>
      <w:r>
        <w:t>Valid vessel insurance documentation.</w:t>
      </w:r>
    </w:p>
    <w:p w:rsidR="006A4000" w:rsidRDefault="00BC43F3">
      <w:pPr>
        <w:numPr>
          <w:ilvl w:val="0"/>
          <w:numId w:val="1"/>
        </w:numPr>
        <w:spacing w:before="0"/>
      </w:pPr>
      <w:r>
        <w:t>Evidence of the vessel’s passenger-carrying capacity.</w:t>
      </w:r>
    </w:p>
    <w:p w:rsidR="006A4000" w:rsidRDefault="00BC43F3">
      <w:pPr>
        <w:numPr>
          <w:ilvl w:val="0"/>
          <w:numId w:val="1"/>
        </w:numPr>
        <w:spacing w:before="0" w:after="240"/>
      </w:pPr>
      <w:r>
        <w:t xml:space="preserve">Any other relevant </w:t>
      </w:r>
      <w:proofErr w:type="spellStart"/>
      <w:r>
        <w:t>licences</w:t>
      </w:r>
      <w:proofErr w:type="spellEnd"/>
      <w:r>
        <w:t>, permits or certificates required for the operation of the vessel and provision of the proposed sea transport services.</w:t>
      </w:r>
    </w:p>
    <w:p w:rsidR="006A4000" w:rsidRDefault="00BC43F3">
      <w:pPr>
        <w:spacing w:before="240" w:after="240"/>
      </w:pPr>
      <w:r>
        <w:t xml:space="preserve">The above requirements will be checked during the tender opening process. Failure to provide the mandatory documentation may result in the disqualification of the tenderer’s submission. Other mandatory documents required for submission are outlined in the </w:t>
      </w:r>
      <w:r>
        <w:rPr>
          <w:i/>
          <w:iCs/>
        </w:rPr>
        <w:t>Instructions on How to Submit a Quotation</w:t>
      </w:r>
      <w:r>
        <w:t xml:space="preserve"> template.</w:t>
      </w:r>
    </w:p>
    <w:p w:rsidR="006A4000" w:rsidRDefault="00BC43F3">
      <w:pPr>
        <w:spacing w:before="240" w:after="240"/>
      </w:pPr>
      <w:r>
        <w:lastRenderedPageBreak/>
        <w:t xml:space="preserve">For the purpose of evaluating qualified tenderers, the criteria outlined in the </w:t>
      </w:r>
      <w:r>
        <w:rPr>
          <w:i/>
          <w:iCs/>
        </w:rPr>
        <w:t xml:space="preserve">Evaluation Criteria and Method </w:t>
      </w:r>
      <w:proofErr w:type="spellStart"/>
      <w:r>
        <w:rPr>
          <w:i/>
          <w:iCs/>
        </w:rPr>
        <w:t>Template</w:t>
      </w:r>
      <w:r>
        <w:t>will</w:t>
      </w:r>
      <w:proofErr w:type="spellEnd"/>
      <w:r>
        <w:t xml:space="preserve"> be applied to assess the quotations, with particular consideration given to </w:t>
      </w:r>
      <w:r>
        <w:rPr>
          <w:b/>
          <w:bCs/>
        </w:rPr>
        <w:t>value for money</w:t>
      </w:r>
      <w:r>
        <w:t>, including the proposed price, suitability and safety of the vessel, passenger capacity, ability to meet the specified routes and schedules, and the tenderer’s capacity to deliver the required sea transport services safely and reliably.</w:t>
      </w:r>
    </w:p>
    <w:p w:rsidR="006A4000" w:rsidRDefault="00BC43F3">
      <w:pPr>
        <w:pStyle w:val="Heading3"/>
      </w:pPr>
      <w:bookmarkStart w:id="4" w:name="_n2zherm3itys" w:colFirst="0" w:colLast="0"/>
      <w:bookmarkEnd w:id="4"/>
      <w:r>
        <w:t>Delivery Time</w:t>
      </w:r>
    </w:p>
    <w:p w:rsidR="006A4000" w:rsidRDefault="00BC43F3">
      <w:pPr>
        <w:pStyle w:val="Heading3"/>
        <w:keepNext w:val="0"/>
        <w:keepLines w:val="0"/>
        <w:spacing w:before="280" w:after="80"/>
        <w:rPr>
          <w:rFonts w:ascii="Times New Roman" w:eastAsia="Times New Roman" w:hAnsi="Times New Roman" w:cs="Times New Roman"/>
          <w:highlight w:val="yellow"/>
        </w:rPr>
      </w:pPr>
      <w:bookmarkStart w:id="5" w:name="_7i352v7x8hue" w:colFirst="0" w:colLast="0"/>
      <w:bookmarkEnd w:id="5"/>
      <w:r>
        <w:rPr>
          <w:rFonts w:ascii="Times New Roman" w:eastAsia="Times New Roman" w:hAnsi="Times New Roman" w:cs="Times New Roman"/>
        </w:rPr>
        <w:t>Tentative 2026 Student Repatriation Schedule</w:t>
      </w:r>
      <w:r>
        <w:t>=</w:t>
      </w:r>
    </w:p>
    <w:p w:rsidR="006A4000" w:rsidRDefault="006A4000">
      <w:pPr>
        <w:rPr>
          <w:highlight w:val="yellow"/>
        </w:rPr>
      </w:pPr>
    </w:p>
    <w:tbl>
      <w:tblPr>
        <w:tblStyle w:val="a0"/>
        <w:tblW w:w="9601" w:type="dxa"/>
        <w:tblInd w:w="0" w:type="dxa"/>
        <w:tblLayout w:type="fixed"/>
        <w:tblLook w:val="0600" w:firstRow="0" w:lastRow="0" w:firstColumn="0" w:lastColumn="0" w:noHBand="1" w:noVBand="1"/>
      </w:tblPr>
      <w:tblGrid>
        <w:gridCol w:w="1103"/>
        <w:gridCol w:w="1526"/>
        <w:gridCol w:w="2227"/>
        <w:gridCol w:w="1975"/>
        <w:gridCol w:w="2770"/>
      </w:tblGrid>
      <w:tr w:rsidR="006A4000">
        <w:trPr>
          <w:trHeight w:val="500"/>
        </w:trPr>
        <w:tc>
          <w:tcPr>
            <w:tcW w:w="1102" w:type="dxa"/>
            <w:tcMar>
              <w:top w:w="100" w:type="dxa"/>
              <w:left w:w="100" w:type="dxa"/>
              <w:bottom w:w="100" w:type="dxa"/>
              <w:right w:w="100" w:type="dxa"/>
            </w:tcMar>
          </w:tcPr>
          <w:p w:rsidR="006A4000" w:rsidRDefault="00BC43F3">
            <w:pPr>
              <w:spacing w:before="240" w:after="240"/>
              <w:jc w:val="center"/>
              <w:rPr>
                <w:highlight w:val="white"/>
              </w:rPr>
            </w:pPr>
            <w:r>
              <w:rPr>
                <w:b/>
                <w:bCs/>
                <w:highlight w:val="white"/>
              </w:rPr>
              <w:t>Route</w:t>
            </w:r>
          </w:p>
        </w:tc>
        <w:tc>
          <w:tcPr>
            <w:tcW w:w="1526" w:type="dxa"/>
            <w:tcMar>
              <w:top w:w="100" w:type="dxa"/>
              <w:left w:w="100" w:type="dxa"/>
              <w:bottom w:w="100" w:type="dxa"/>
              <w:right w:w="100" w:type="dxa"/>
            </w:tcMar>
          </w:tcPr>
          <w:p w:rsidR="006A4000" w:rsidRDefault="00BC43F3">
            <w:pPr>
              <w:spacing w:before="240" w:after="240"/>
              <w:jc w:val="center"/>
              <w:rPr>
                <w:highlight w:val="white"/>
              </w:rPr>
            </w:pPr>
            <w:r>
              <w:rPr>
                <w:b/>
                <w:bCs/>
                <w:highlight w:val="white"/>
              </w:rPr>
              <w:t>Route bound</w:t>
            </w:r>
          </w:p>
        </w:tc>
        <w:tc>
          <w:tcPr>
            <w:tcW w:w="2227" w:type="dxa"/>
            <w:tcMar>
              <w:top w:w="100" w:type="dxa"/>
              <w:left w:w="100" w:type="dxa"/>
              <w:bottom w:w="100" w:type="dxa"/>
              <w:right w:w="100" w:type="dxa"/>
            </w:tcMar>
          </w:tcPr>
          <w:p w:rsidR="006A4000" w:rsidRDefault="00BC43F3">
            <w:pPr>
              <w:spacing w:before="240" w:after="240"/>
              <w:jc w:val="center"/>
              <w:rPr>
                <w:highlight w:val="white"/>
              </w:rPr>
            </w:pPr>
            <w:r>
              <w:rPr>
                <w:b/>
                <w:bCs/>
                <w:highlight w:val="white"/>
              </w:rPr>
              <w:t>Capacity</w:t>
            </w:r>
          </w:p>
        </w:tc>
        <w:tc>
          <w:tcPr>
            <w:tcW w:w="1975" w:type="dxa"/>
            <w:tcMar>
              <w:top w:w="100" w:type="dxa"/>
              <w:left w:w="100" w:type="dxa"/>
              <w:bottom w:w="100" w:type="dxa"/>
              <w:right w:w="100" w:type="dxa"/>
            </w:tcMar>
          </w:tcPr>
          <w:p w:rsidR="006A4000" w:rsidRDefault="00BC43F3">
            <w:pPr>
              <w:spacing w:before="240" w:after="240"/>
              <w:jc w:val="center"/>
              <w:rPr>
                <w:highlight w:val="white"/>
              </w:rPr>
            </w:pPr>
            <w:r>
              <w:rPr>
                <w:b/>
                <w:bCs/>
                <w:highlight w:val="white"/>
              </w:rPr>
              <w:t>Details</w:t>
            </w:r>
          </w:p>
        </w:tc>
        <w:tc>
          <w:tcPr>
            <w:tcW w:w="2769" w:type="dxa"/>
            <w:tcMar>
              <w:top w:w="100" w:type="dxa"/>
              <w:left w:w="100" w:type="dxa"/>
              <w:bottom w:w="100" w:type="dxa"/>
              <w:right w:w="100" w:type="dxa"/>
            </w:tcMar>
          </w:tcPr>
          <w:p w:rsidR="006A4000" w:rsidRDefault="00BC43F3">
            <w:pPr>
              <w:spacing w:before="240" w:after="240"/>
              <w:jc w:val="center"/>
              <w:rPr>
                <w:highlight w:val="white"/>
              </w:rPr>
            </w:pPr>
            <w:r>
              <w:rPr>
                <w:b/>
                <w:bCs/>
                <w:highlight w:val="white"/>
              </w:rPr>
              <w:t xml:space="preserve">Date </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1</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Trw-TabN-Abem-Trw</w:t>
            </w:r>
            <w:proofErr w:type="spellEnd"/>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             300+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Dropping F7 and </w:t>
            </w:r>
            <w:proofErr w:type="spellStart"/>
            <w:r>
              <w:rPr>
                <w:highlight w:val="white"/>
              </w:rPr>
              <w:t>Picki</w:t>
            </w:r>
            <w:proofErr w:type="spellEnd"/>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                    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2</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Trw-Abaiang</w:t>
            </w:r>
            <w:proofErr w:type="spellEnd"/>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             150+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Dropping F7</w:t>
            </w:r>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                    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3</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Trw-Abem</w:t>
            </w:r>
            <w:proofErr w:type="spellEnd"/>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             250+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Pick up students</w:t>
            </w:r>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                     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4</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Trw-Butaritari</w:t>
            </w:r>
            <w:proofErr w:type="spellEnd"/>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             150+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Pick up students</w:t>
            </w:r>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                     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5</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Trw-Abaiang</w:t>
            </w:r>
            <w:proofErr w:type="spellEnd"/>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              150+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Dropping</w:t>
            </w:r>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                    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6</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Trw-Abaiang</w:t>
            </w:r>
            <w:proofErr w:type="spellEnd"/>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              150+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Dropping</w:t>
            </w:r>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                      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7</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Trw-Abaiang</w:t>
            </w:r>
            <w:proofErr w:type="spellEnd"/>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              150+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Combined</w:t>
            </w:r>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                       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8</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w:t>
            </w:r>
            <w:proofErr w:type="spellEnd"/>
            <w:r>
              <w:rPr>
                <w:highlight w:val="white"/>
              </w:rPr>
              <w:t>-</w:t>
            </w:r>
            <w:proofErr w:type="spellStart"/>
            <w:r>
              <w:rPr>
                <w:highlight w:val="white"/>
              </w:rPr>
              <w:t>Abem</w:t>
            </w:r>
            <w:proofErr w:type="spellEnd"/>
            <w:r>
              <w:rPr>
                <w:highlight w:val="white"/>
              </w:rPr>
              <w:t>-Non-</w:t>
            </w:r>
            <w:proofErr w:type="spellStart"/>
            <w:r>
              <w:rPr>
                <w:highlight w:val="white"/>
              </w:rPr>
              <w:t>TabN</w:t>
            </w:r>
            <w:proofErr w:type="spellEnd"/>
            <w:r>
              <w:rPr>
                <w:highlight w:val="white"/>
              </w:rPr>
              <w:t>-</w:t>
            </w:r>
            <w:proofErr w:type="spellStart"/>
            <w:r>
              <w:rPr>
                <w:highlight w:val="white"/>
              </w:rPr>
              <w:t>Beru</w:t>
            </w:r>
            <w:proofErr w:type="spellEnd"/>
            <w:r>
              <w:rPr>
                <w:highlight w:val="white"/>
              </w:rPr>
              <w:t>-Nik-</w:t>
            </w:r>
            <w:proofErr w:type="spellStart"/>
            <w:r>
              <w:rPr>
                <w:highlight w:val="white"/>
              </w:rPr>
              <w:t>Aro</w:t>
            </w:r>
            <w:proofErr w:type="spellEnd"/>
            <w:r>
              <w:rPr>
                <w:highlight w:val="white"/>
              </w:rPr>
              <w:t>-Tan-</w:t>
            </w:r>
            <w:proofErr w:type="spellStart"/>
            <w:r>
              <w:rPr>
                <w:highlight w:val="white"/>
              </w:rPr>
              <w:lastRenderedPageBreak/>
              <w:t>Onot</w:t>
            </w:r>
            <w:proofErr w:type="spellEnd"/>
            <w:r>
              <w:rPr>
                <w:highlight w:val="white"/>
              </w:rPr>
              <w:t>-</w:t>
            </w:r>
            <w:proofErr w:type="spellStart"/>
            <w:r>
              <w:rPr>
                <w:highlight w:val="white"/>
              </w:rPr>
              <w:t>TabS</w:t>
            </w:r>
            <w:proofErr w:type="spellEnd"/>
            <w:r>
              <w:rPr>
                <w:highlight w:val="white"/>
              </w:rPr>
              <w:t>-</w:t>
            </w:r>
            <w:proofErr w:type="spellStart"/>
            <w:r>
              <w:rPr>
                <w:highlight w:val="white"/>
              </w:rPr>
              <w:t>TabN</w:t>
            </w:r>
            <w:proofErr w:type="spellEnd"/>
            <w:r>
              <w:rPr>
                <w:highlight w:val="white"/>
              </w:rPr>
              <w:t>-Non-</w:t>
            </w:r>
            <w:proofErr w:type="spellStart"/>
            <w:r>
              <w:rPr>
                <w:highlight w:val="white"/>
              </w:rPr>
              <w:t>Abem</w:t>
            </w:r>
            <w:proofErr w:type="spellEnd"/>
            <w:r>
              <w:rPr>
                <w:highlight w:val="white"/>
              </w:rPr>
              <w:t>-</w:t>
            </w:r>
            <w:proofErr w:type="spellStart"/>
            <w:r>
              <w:rPr>
                <w:highlight w:val="white"/>
              </w:rPr>
              <w:t>Trw</w:t>
            </w:r>
            <w:proofErr w:type="spellEnd"/>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lastRenderedPageBreak/>
              <w:t>400+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Pick and Drop to their islands</w:t>
            </w:r>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                       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9</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Trw-Butaritari</w:t>
            </w:r>
            <w:proofErr w:type="spellEnd"/>
            <w:r>
              <w:rPr>
                <w:highlight w:val="white"/>
              </w:rPr>
              <w:t>-</w:t>
            </w:r>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150+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Dropping</w:t>
            </w:r>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10</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TabN</w:t>
            </w:r>
            <w:proofErr w:type="spellEnd"/>
            <w:r>
              <w:rPr>
                <w:highlight w:val="white"/>
              </w:rPr>
              <w:t>-</w:t>
            </w:r>
            <w:proofErr w:type="spellStart"/>
            <w:r>
              <w:rPr>
                <w:highlight w:val="white"/>
              </w:rPr>
              <w:t>TabS</w:t>
            </w:r>
            <w:proofErr w:type="spellEnd"/>
            <w:r>
              <w:rPr>
                <w:highlight w:val="white"/>
              </w:rPr>
              <w:t>-</w:t>
            </w:r>
            <w:proofErr w:type="spellStart"/>
            <w:r>
              <w:rPr>
                <w:highlight w:val="white"/>
              </w:rPr>
              <w:t>Beru</w:t>
            </w:r>
            <w:proofErr w:type="spellEnd"/>
            <w:r>
              <w:rPr>
                <w:highlight w:val="white"/>
              </w:rPr>
              <w:t>-Nik-Tam-</w:t>
            </w:r>
            <w:proofErr w:type="spellStart"/>
            <w:r>
              <w:rPr>
                <w:highlight w:val="white"/>
              </w:rPr>
              <w:t>Arorae</w:t>
            </w:r>
            <w:proofErr w:type="spellEnd"/>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150+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Remaining student- …</w:t>
            </w:r>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11</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Trw-Abem</w:t>
            </w:r>
            <w:proofErr w:type="spellEnd"/>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200+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Dropping </w:t>
            </w:r>
            <w:proofErr w:type="spellStart"/>
            <w:r>
              <w:rPr>
                <w:highlight w:val="white"/>
              </w:rPr>
              <w:t>Abem</w:t>
            </w:r>
            <w:proofErr w:type="spellEnd"/>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12</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w:t>
            </w:r>
            <w:proofErr w:type="spellEnd"/>
            <w:r>
              <w:rPr>
                <w:highlight w:val="white"/>
              </w:rPr>
              <w:t>-Makin-But</w:t>
            </w:r>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150+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 students in </w:t>
            </w:r>
            <w:proofErr w:type="spellStart"/>
            <w:r>
              <w:rPr>
                <w:highlight w:val="white"/>
              </w:rPr>
              <w:t>Butaritari</w:t>
            </w:r>
            <w:proofErr w:type="spellEnd"/>
            <w:r>
              <w:rPr>
                <w:highlight w:val="white"/>
              </w:rPr>
              <w:t xml:space="preserve"> and Makin</w:t>
            </w:r>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13</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Trw-Abem</w:t>
            </w:r>
            <w:proofErr w:type="spellEnd"/>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200+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Dropping</w:t>
            </w:r>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14</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Trw-Nonouti</w:t>
            </w:r>
            <w:proofErr w:type="spellEnd"/>
            <w:r>
              <w:rPr>
                <w:highlight w:val="white"/>
              </w:rPr>
              <w:t>-</w:t>
            </w:r>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200+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Dropping off</w:t>
            </w:r>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15 (</w:t>
            </w:r>
            <w:proofErr w:type="spellStart"/>
            <w:r>
              <w:rPr>
                <w:highlight w:val="white"/>
              </w:rPr>
              <w:t>i</w:t>
            </w:r>
            <w:proofErr w:type="spellEnd"/>
            <w:r>
              <w:rPr>
                <w:highlight w:val="white"/>
              </w:rPr>
              <w:t>)</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w:t>
            </w:r>
            <w:proofErr w:type="spellEnd"/>
            <w:r>
              <w:rPr>
                <w:highlight w:val="white"/>
              </w:rPr>
              <w:t>-Non-</w:t>
            </w:r>
          </w:p>
        </w:tc>
        <w:tc>
          <w:tcPr>
            <w:tcW w:w="2227" w:type="dxa"/>
            <w:tcMar>
              <w:top w:w="100" w:type="dxa"/>
              <w:left w:w="100" w:type="dxa"/>
              <w:bottom w:w="100" w:type="dxa"/>
              <w:right w:w="100" w:type="dxa"/>
            </w:tcMar>
          </w:tcPr>
          <w:p w:rsidR="006A4000" w:rsidRDefault="006A4000">
            <w:pPr>
              <w:spacing w:before="240" w:after="240"/>
              <w:rPr>
                <w:highlight w:val="white"/>
              </w:rPr>
            </w:pP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Dropping of</w:t>
            </w:r>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15 (ii)</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w:t>
            </w:r>
            <w:proofErr w:type="spellEnd"/>
            <w:r>
              <w:rPr>
                <w:highlight w:val="white"/>
              </w:rPr>
              <w:t>-Non</w:t>
            </w:r>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200+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Ship to </w:t>
            </w:r>
            <w:proofErr w:type="spellStart"/>
            <w:r>
              <w:rPr>
                <w:highlight w:val="white"/>
              </w:rPr>
              <w:t>Nonouti</w:t>
            </w:r>
            <w:proofErr w:type="spellEnd"/>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16</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w:t>
            </w:r>
            <w:proofErr w:type="spellEnd"/>
            <w:r>
              <w:rPr>
                <w:highlight w:val="white"/>
              </w:rPr>
              <w:t>-</w:t>
            </w:r>
            <w:proofErr w:type="spellStart"/>
            <w:r>
              <w:rPr>
                <w:highlight w:val="white"/>
              </w:rPr>
              <w:t>Beru</w:t>
            </w:r>
            <w:proofErr w:type="spellEnd"/>
            <w:r>
              <w:rPr>
                <w:highlight w:val="white"/>
              </w:rPr>
              <w:t>-Nik</w:t>
            </w:r>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150+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Pick and drop to </w:t>
            </w:r>
            <w:proofErr w:type="spellStart"/>
            <w:r>
              <w:rPr>
                <w:highlight w:val="white"/>
              </w:rPr>
              <w:t>Ber</w:t>
            </w:r>
            <w:proofErr w:type="spellEnd"/>
            <w:r>
              <w:rPr>
                <w:highlight w:val="white"/>
              </w:rPr>
              <w:t>…</w:t>
            </w:r>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TBC</w:t>
            </w:r>
          </w:p>
        </w:tc>
      </w:tr>
      <w:tr w:rsidR="006A4000">
        <w:trPr>
          <w:trHeight w:val="866"/>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17 (</w:t>
            </w:r>
            <w:proofErr w:type="spellStart"/>
            <w:r>
              <w:rPr>
                <w:highlight w:val="white"/>
              </w:rPr>
              <w:t>i</w:t>
            </w:r>
            <w:proofErr w:type="spellEnd"/>
            <w:r>
              <w:rPr>
                <w:highlight w:val="white"/>
              </w:rPr>
              <w:t>)</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Trw-Abem</w:t>
            </w:r>
            <w:proofErr w:type="spellEnd"/>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200+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Last remaining </w:t>
            </w:r>
            <w:proofErr w:type="spellStart"/>
            <w:r>
              <w:rPr>
                <w:highlight w:val="white"/>
              </w:rPr>
              <w:t>shi</w:t>
            </w:r>
            <w:proofErr w:type="spellEnd"/>
            <w:r>
              <w:rPr>
                <w:highlight w:val="white"/>
              </w:rPr>
              <w:t>…</w:t>
            </w:r>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lastRenderedPageBreak/>
              <w:t>17 (ii)</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w:t>
            </w:r>
            <w:proofErr w:type="spellEnd"/>
            <w:r>
              <w:rPr>
                <w:highlight w:val="white"/>
              </w:rPr>
              <w:t>-Banaba</w:t>
            </w:r>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150+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Dropping of </w:t>
            </w:r>
            <w:proofErr w:type="spellStart"/>
            <w:r>
              <w:rPr>
                <w:highlight w:val="white"/>
              </w:rPr>
              <w:t>Banaban</w:t>
            </w:r>
            <w:proofErr w:type="spellEnd"/>
            <w:r>
              <w:rPr>
                <w:highlight w:val="white"/>
              </w:rPr>
              <w:t>…</w:t>
            </w:r>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18</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Trw-Marakei</w:t>
            </w:r>
            <w:proofErr w:type="spellEnd"/>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150+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Dropping </w:t>
            </w:r>
            <w:proofErr w:type="spellStart"/>
            <w:r>
              <w:rPr>
                <w:highlight w:val="white"/>
              </w:rPr>
              <w:t>Marakei</w:t>
            </w:r>
            <w:proofErr w:type="spellEnd"/>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19</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w:t>
            </w:r>
            <w:proofErr w:type="spellEnd"/>
            <w:r>
              <w:rPr>
                <w:highlight w:val="white"/>
              </w:rPr>
              <w:t>-Kuria-</w:t>
            </w:r>
            <w:proofErr w:type="spellStart"/>
            <w:r>
              <w:rPr>
                <w:highlight w:val="white"/>
              </w:rPr>
              <w:t>Arar</w:t>
            </w:r>
            <w:proofErr w:type="spellEnd"/>
            <w:r>
              <w:rPr>
                <w:highlight w:val="white"/>
              </w:rPr>
              <w:t>…</w:t>
            </w:r>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200+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Dropping Kuria-</w:t>
            </w:r>
            <w:proofErr w:type="spellStart"/>
            <w:r>
              <w:rPr>
                <w:highlight w:val="white"/>
              </w:rPr>
              <w:t>Ara</w:t>
            </w:r>
            <w:proofErr w:type="spellEnd"/>
            <w:r>
              <w:rPr>
                <w:highlight w:val="white"/>
              </w:rPr>
              <w:t>…</w:t>
            </w:r>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20</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Trw-Maiana</w:t>
            </w:r>
            <w:proofErr w:type="spellEnd"/>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150+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 xml:space="preserve">Dropping </w:t>
            </w:r>
            <w:proofErr w:type="spellStart"/>
            <w:r>
              <w:rPr>
                <w:highlight w:val="white"/>
              </w:rPr>
              <w:t>Maiana</w:t>
            </w:r>
            <w:proofErr w:type="spellEnd"/>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21</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w:t>
            </w:r>
            <w:proofErr w:type="spellEnd"/>
            <w:r>
              <w:rPr>
                <w:highlight w:val="white"/>
              </w:rPr>
              <w:t>-Kiritimati-</w:t>
            </w:r>
            <w:r w:rsidR="00333813">
              <w:rPr>
                <w:highlight w:val="white"/>
              </w:rPr>
              <w:t xml:space="preserve"> </w:t>
            </w:r>
            <w:proofErr w:type="spellStart"/>
            <w:r w:rsidR="00333813">
              <w:rPr>
                <w:highlight w:val="white"/>
              </w:rPr>
              <w:t>Teraina</w:t>
            </w:r>
            <w:proofErr w:type="spellEnd"/>
            <w:r w:rsidR="00333813">
              <w:rPr>
                <w:highlight w:val="white"/>
              </w:rPr>
              <w:t xml:space="preserve">- </w:t>
            </w:r>
            <w:proofErr w:type="spellStart"/>
            <w:r w:rsidR="00333813">
              <w:rPr>
                <w:highlight w:val="white"/>
              </w:rPr>
              <w:t>Tabuaeran</w:t>
            </w:r>
            <w:proofErr w:type="spellEnd"/>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400+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Dropping</w:t>
            </w:r>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22</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Trw-Butaritari</w:t>
            </w:r>
            <w:proofErr w:type="spellEnd"/>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150+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Dropping of</w:t>
            </w:r>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23</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Trw-Marakei</w:t>
            </w:r>
            <w:proofErr w:type="spellEnd"/>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150+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Dropping of</w:t>
            </w:r>
          </w:p>
        </w:tc>
        <w:tc>
          <w:tcPr>
            <w:tcW w:w="2769" w:type="dxa"/>
            <w:tcMar>
              <w:top w:w="100" w:type="dxa"/>
              <w:left w:w="100" w:type="dxa"/>
              <w:bottom w:w="100" w:type="dxa"/>
              <w:right w:w="100" w:type="dxa"/>
            </w:tcMar>
          </w:tcPr>
          <w:p w:rsidR="006A4000" w:rsidRDefault="00BC43F3">
            <w:pPr>
              <w:spacing w:before="240" w:after="240"/>
              <w:rPr>
                <w:highlight w:val="white"/>
              </w:rPr>
            </w:pPr>
            <w:r>
              <w:rPr>
                <w:highlight w:val="white"/>
              </w:rPr>
              <w:t>TBC</w:t>
            </w:r>
          </w:p>
        </w:tc>
      </w:tr>
      <w:tr w:rsidR="006A4000">
        <w:trPr>
          <w:trHeight w:val="500"/>
        </w:trPr>
        <w:tc>
          <w:tcPr>
            <w:tcW w:w="1102" w:type="dxa"/>
            <w:tcMar>
              <w:top w:w="100" w:type="dxa"/>
              <w:left w:w="100" w:type="dxa"/>
              <w:bottom w:w="100" w:type="dxa"/>
              <w:right w:w="100" w:type="dxa"/>
            </w:tcMar>
          </w:tcPr>
          <w:p w:rsidR="006A4000" w:rsidRDefault="00BC43F3">
            <w:pPr>
              <w:spacing w:before="240" w:after="240"/>
              <w:rPr>
                <w:highlight w:val="white"/>
              </w:rPr>
            </w:pPr>
            <w:r>
              <w:rPr>
                <w:highlight w:val="white"/>
              </w:rPr>
              <w:t>24</w:t>
            </w:r>
          </w:p>
        </w:tc>
        <w:tc>
          <w:tcPr>
            <w:tcW w:w="1526" w:type="dxa"/>
            <w:tcMar>
              <w:top w:w="100" w:type="dxa"/>
              <w:left w:w="100" w:type="dxa"/>
              <w:bottom w:w="100" w:type="dxa"/>
              <w:right w:w="100" w:type="dxa"/>
            </w:tcMar>
          </w:tcPr>
          <w:p w:rsidR="006A4000" w:rsidRDefault="00BC43F3">
            <w:pPr>
              <w:spacing w:before="240" w:after="240"/>
              <w:rPr>
                <w:highlight w:val="white"/>
              </w:rPr>
            </w:pPr>
            <w:proofErr w:type="spellStart"/>
            <w:r>
              <w:rPr>
                <w:highlight w:val="white"/>
              </w:rPr>
              <w:t>Trw</w:t>
            </w:r>
            <w:proofErr w:type="spellEnd"/>
            <w:r>
              <w:rPr>
                <w:highlight w:val="white"/>
              </w:rPr>
              <w:t>-</w:t>
            </w:r>
            <w:proofErr w:type="spellStart"/>
            <w:r>
              <w:rPr>
                <w:highlight w:val="white"/>
              </w:rPr>
              <w:t>Onotoa</w:t>
            </w:r>
            <w:proofErr w:type="spellEnd"/>
            <w:r>
              <w:rPr>
                <w:highlight w:val="white"/>
              </w:rPr>
              <w:t>-B…</w:t>
            </w:r>
            <w:bookmarkStart w:id="6" w:name="_GoBack"/>
            <w:bookmarkEnd w:id="6"/>
          </w:p>
        </w:tc>
        <w:tc>
          <w:tcPr>
            <w:tcW w:w="2227" w:type="dxa"/>
            <w:tcMar>
              <w:top w:w="100" w:type="dxa"/>
              <w:left w:w="100" w:type="dxa"/>
              <w:bottom w:w="100" w:type="dxa"/>
              <w:right w:w="100" w:type="dxa"/>
            </w:tcMar>
          </w:tcPr>
          <w:p w:rsidR="006A4000" w:rsidRDefault="00BC43F3">
            <w:pPr>
              <w:spacing w:before="240" w:after="240"/>
              <w:rPr>
                <w:highlight w:val="white"/>
              </w:rPr>
            </w:pPr>
            <w:r>
              <w:rPr>
                <w:highlight w:val="white"/>
              </w:rPr>
              <w:t>150+</w:t>
            </w:r>
          </w:p>
        </w:tc>
        <w:tc>
          <w:tcPr>
            <w:tcW w:w="1975" w:type="dxa"/>
            <w:tcMar>
              <w:top w:w="100" w:type="dxa"/>
              <w:left w:w="100" w:type="dxa"/>
              <w:bottom w:w="100" w:type="dxa"/>
              <w:right w:w="100" w:type="dxa"/>
            </w:tcMar>
          </w:tcPr>
          <w:p w:rsidR="006A4000" w:rsidRDefault="00BC43F3">
            <w:pPr>
              <w:spacing w:before="240" w:after="240"/>
              <w:rPr>
                <w:highlight w:val="white"/>
              </w:rPr>
            </w:pPr>
            <w:r>
              <w:rPr>
                <w:highlight w:val="white"/>
              </w:rPr>
              <w:t>Last ship</w:t>
            </w:r>
          </w:p>
        </w:tc>
        <w:tc>
          <w:tcPr>
            <w:tcW w:w="2769" w:type="dxa"/>
            <w:shd w:val="clear" w:color="auto" w:fill="auto"/>
            <w:tcMar>
              <w:top w:w="100" w:type="dxa"/>
              <w:left w:w="100" w:type="dxa"/>
              <w:bottom w:w="100" w:type="dxa"/>
              <w:right w:w="100" w:type="dxa"/>
            </w:tcMar>
          </w:tcPr>
          <w:p w:rsidR="006A4000" w:rsidRDefault="00BC43F3">
            <w:pPr>
              <w:spacing w:before="240" w:after="240"/>
              <w:rPr>
                <w:highlight w:val="white"/>
              </w:rPr>
            </w:pPr>
            <w:r>
              <w:rPr>
                <w:highlight w:val="white"/>
              </w:rPr>
              <w:t>TBC</w:t>
            </w:r>
          </w:p>
        </w:tc>
      </w:tr>
    </w:tbl>
    <w:p w:rsidR="006A4000" w:rsidRDefault="00BC43F3">
      <w:pPr>
        <w:spacing w:before="240" w:after="240"/>
      </w:pPr>
      <w:r>
        <w:t>Note: Dates and routes are tentative and subject to confirmation of vessel availability, passenger numbers, capacity and sailing durations.</w:t>
      </w:r>
    </w:p>
    <w:sectPr w:rsidR="006A4000">
      <w:headerReference w:type="default" r:id="rId7"/>
      <w:footerReference w:type="default" r:id="rId8"/>
      <w:pgSz w:w="11907" w:h="16839"/>
      <w:pgMar w:top="1701" w:right="1152" w:bottom="1080" w:left="1152" w:header="28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DC3" w:rsidRDefault="008C5DC3">
      <w:pPr>
        <w:spacing w:before="0"/>
      </w:pPr>
      <w:r>
        <w:separator/>
      </w:r>
    </w:p>
  </w:endnote>
  <w:endnote w:type="continuationSeparator" w:id="0">
    <w:p w:rsidR="008C5DC3" w:rsidRDefault="008C5DC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688366F-BD00-45A1-B466-FC610339BFF4}"/>
    <w:embedBold r:id="rId2" w:fontKey="{3D6F41CA-1108-4130-8525-249F6F738D98}"/>
    <w:embedBoldItalic r:id="rId3" w:fontKey="{2AC45355-FB16-40FF-A6E5-0E612294ADD9}"/>
  </w:font>
  <w:font w:name="Georgia">
    <w:panose1 w:val="02040502050405020303"/>
    <w:charset w:val="00"/>
    <w:family w:val="roman"/>
    <w:pitch w:val="variable"/>
    <w:sig w:usb0="00000287" w:usb1="00000000" w:usb2="00000000" w:usb3="00000000" w:csb0="0000009F" w:csb1="00000000"/>
    <w:embedItalic r:id="rId4" w:fontKey="{CE0B4304-26DD-4B41-BC36-818D3A4DD9D6}"/>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3B298D79-97D7-4F5C-B543-9E6B3A1373D7}"/>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000" w:rsidRDefault="00BC43F3">
    <w:pPr>
      <w:tabs>
        <w:tab w:val="center" w:pos="4550"/>
        <w:tab w:val="left" w:pos="5818"/>
      </w:tabs>
      <w:ind w:right="260"/>
      <w:jc w:val="right"/>
      <w:rPr>
        <w:color w:val="0F243E"/>
      </w:rPr>
    </w:pPr>
    <w:r>
      <w:rPr>
        <w:color w:val="548DD4"/>
      </w:rPr>
      <w:t xml:space="preserve">Page </w:t>
    </w:r>
    <w:r>
      <w:rPr>
        <w:color w:val="17365D"/>
      </w:rPr>
      <w:fldChar w:fldCharType="begin"/>
    </w:r>
    <w:r>
      <w:rPr>
        <w:color w:val="17365D"/>
      </w:rPr>
      <w:instrText>PAGE</w:instrText>
    </w:r>
    <w:r>
      <w:rPr>
        <w:color w:val="17365D"/>
      </w:rPr>
      <w:fldChar w:fldCharType="separate"/>
    </w:r>
    <w:r w:rsidR="00333813">
      <w:rPr>
        <w:noProof/>
        <w:color w:val="17365D"/>
      </w:rPr>
      <w:t>5</w:t>
    </w:r>
    <w:r>
      <w:rPr>
        <w:color w:val="17365D"/>
      </w:rPr>
      <w:fldChar w:fldCharType="end"/>
    </w:r>
    <w:r>
      <w:rPr>
        <w:color w:val="17365D"/>
      </w:rPr>
      <w:t xml:space="preserve"> | </w:t>
    </w:r>
    <w:r>
      <w:rPr>
        <w:color w:val="17365D"/>
      </w:rPr>
      <w:fldChar w:fldCharType="begin"/>
    </w:r>
    <w:r>
      <w:rPr>
        <w:color w:val="17365D"/>
      </w:rPr>
      <w:instrText>NUMPAGES</w:instrText>
    </w:r>
    <w:r>
      <w:rPr>
        <w:color w:val="17365D"/>
      </w:rPr>
      <w:fldChar w:fldCharType="separate"/>
    </w:r>
    <w:r w:rsidR="00333813">
      <w:rPr>
        <w:noProof/>
        <w:color w:val="17365D"/>
      </w:rPr>
      <w:t>5</w:t>
    </w:r>
    <w:r>
      <w:rPr>
        <w:color w:val="17365D"/>
      </w:rPr>
      <w:fldChar w:fldCharType="end"/>
    </w:r>
  </w:p>
  <w:p w:rsidR="006A4000" w:rsidRDefault="00BC43F3">
    <w:pPr>
      <w:pBdr>
        <w:top w:val="nil"/>
        <w:left w:val="nil"/>
        <w:bottom w:val="nil"/>
        <w:right w:val="nil"/>
        <w:between w:val="nil"/>
      </w:pBdr>
      <w:tabs>
        <w:tab w:val="center" w:pos="4320"/>
        <w:tab w:val="right" w:pos="8640"/>
      </w:tabs>
      <w:rPr>
        <w:color w:val="000000"/>
      </w:rPr>
    </w:pPr>
    <w:r>
      <w:rPr>
        <w:color w:val="000000"/>
      </w:rPr>
      <w:t>202</w:t>
    </w:r>
    <w:r>
      <w:t>6</w:t>
    </w:r>
    <w:r>
      <w:rPr>
        <w:color w:val="000000"/>
      </w:rPr>
      <w:t>-10-</w:t>
    </w:r>
    <w:r>
      <w:t>12</w:t>
    </w:r>
  </w:p>
  <w:p w:rsidR="006A4000" w:rsidRDefault="006A400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DC3" w:rsidRDefault="008C5DC3">
      <w:pPr>
        <w:spacing w:before="0"/>
      </w:pPr>
      <w:r>
        <w:separator/>
      </w:r>
    </w:p>
  </w:footnote>
  <w:footnote w:type="continuationSeparator" w:id="0">
    <w:p w:rsidR="008C5DC3" w:rsidRDefault="008C5DC3">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000" w:rsidRDefault="00BC43F3">
    <w:pPr>
      <w:pBdr>
        <w:top w:val="nil"/>
        <w:left w:val="nil"/>
        <w:bottom w:val="nil"/>
        <w:right w:val="nil"/>
        <w:between w:val="nil"/>
      </w:pBdr>
      <w:tabs>
        <w:tab w:val="center" w:pos="4320"/>
        <w:tab w:val="right" w:pos="8640"/>
        <w:tab w:val="center" w:pos="4820"/>
        <w:tab w:val="right" w:pos="9498"/>
      </w:tabs>
      <w:rPr>
        <w:rFonts w:ascii="Calibri" w:eastAsia="Calibri" w:hAnsi="Calibri" w:cs="Calibri"/>
        <w:color w:val="000000"/>
        <w:sz w:val="20"/>
        <w:szCs w:val="20"/>
      </w:rPr>
    </w:pPr>
    <w:r>
      <w:rPr>
        <w:rFonts w:ascii="Calibri" w:eastAsia="Calibri" w:hAnsi="Calibri" w:cs="Calibri"/>
        <w:color w:val="000000"/>
        <w:sz w:val="20"/>
        <w:szCs w:val="20"/>
      </w:rPr>
      <w:tab/>
    </w:r>
    <w:r>
      <w:rPr>
        <w:noProof/>
        <w:color w:val="000000"/>
      </w:rPr>
      <w:drawing>
        <wp:inline distT="0" distB="0" distL="0" distR="0">
          <wp:extent cx="603523" cy="660325"/>
          <wp:effectExtent l="0" t="0" r="0" b="0"/>
          <wp:docPr id="1" name="image1.png" descr="{{{coat_alt}}}"/>
          <wp:cNvGraphicFramePr/>
          <a:graphic xmlns:a="http://schemas.openxmlformats.org/drawingml/2006/main">
            <a:graphicData uri="http://schemas.openxmlformats.org/drawingml/2006/picture">
              <pic:pic xmlns:pic="http://schemas.openxmlformats.org/drawingml/2006/picture">
                <pic:nvPicPr>
                  <pic:cNvPr id="0" name="image1.png" descr="{{{coat_alt}}}"/>
                  <pic:cNvPicPr preferRelativeResize="0"/>
                </pic:nvPicPr>
                <pic:blipFill>
                  <a:blip r:embed="rId1"/>
                  <a:srcRect/>
                  <a:stretch>
                    <a:fillRect/>
                  </a:stretch>
                </pic:blipFill>
                <pic:spPr>
                  <a:xfrm>
                    <a:off x="0" y="0"/>
                    <a:ext cx="603523" cy="660325"/>
                  </a:xfrm>
                  <a:prstGeom prst="rect">
                    <a:avLst/>
                  </a:prstGeom>
                  <a:ln/>
                </pic:spPr>
              </pic:pic>
            </a:graphicData>
          </a:graphic>
        </wp:inline>
      </w:drawing>
    </w:r>
    <w:r>
      <w:rPr>
        <w:rFonts w:ascii="Calibri" w:eastAsia="Calibri" w:hAnsi="Calibri" w:cs="Calibri"/>
        <w:color w:val="000000"/>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D543A"/>
    <w:multiLevelType w:val="multilevel"/>
    <w:tmpl w:val="E4227564"/>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000"/>
    <w:rsid w:val="00333813"/>
    <w:rsid w:val="006A4000"/>
    <w:rsid w:val="007467D3"/>
    <w:rsid w:val="008C5DC3"/>
    <w:rsid w:val="00BC4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97723"/>
  <w15:docId w15:val="{4F68926A-997B-4903-AD0A-91AE7775B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pBdr>
        <w:top w:val="nil"/>
        <w:left w:val="nil"/>
        <w:bottom w:val="nil"/>
        <w:right w:val="nil"/>
        <w:between w:val="nil"/>
      </w:pBdr>
      <w:spacing w:before="240" w:after="240"/>
      <w:jc w:val="center"/>
      <w:outlineLvl w:val="0"/>
    </w:pPr>
    <w:rPr>
      <w:rFonts w:ascii="Calibri" w:eastAsia="Calibri" w:hAnsi="Calibri" w:cs="Calibri"/>
      <w:b/>
      <w:bCs/>
      <w:color w:val="000000"/>
      <w:sz w:val="36"/>
      <w:szCs w:val="36"/>
    </w:rPr>
  </w:style>
  <w:style w:type="paragraph" w:styleId="Heading2">
    <w:name w:val="heading 2"/>
    <w:basedOn w:val="Normal"/>
    <w:next w:val="Normal"/>
    <w:pPr>
      <w:keepNext/>
      <w:keepLines/>
      <w:pBdr>
        <w:top w:val="nil"/>
        <w:left w:val="nil"/>
        <w:bottom w:val="nil"/>
        <w:right w:val="nil"/>
        <w:between w:val="nil"/>
      </w:pBdr>
      <w:spacing w:before="360" w:after="240"/>
      <w:outlineLvl w:val="1"/>
    </w:pPr>
    <w:rPr>
      <w:rFonts w:ascii="Calibri" w:eastAsia="Calibri" w:hAnsi="Calibri" w:cs="Calibri"/>
      <w:b/>
      <w:bCs/>
      <w:color w:val="000000"/>
      <w:sz w:val="32"/>
      <w:szCs w:val="32"/>
    </w:rPr>
  </w:style>
  <w:style w:type="paragraph" w:styleId="Heading3">
    <w:name w:val="heading 3"/>
    <w:basedOn w:val="Normal"/>
    <w:next w:val="Normal"/>
    <w:pPr>
      <w:keepNext/>
      <w:keepLines/>
      <w:pBdr>
        <w:top w:val="nil"/>
        <w:left w:val="nil"/>
        <w:bottom w:val="nil"/>
        <w:right w:val="nil"/>
        <w:between w:val="nil"/>
      </w:pBdr>
      <w:spacing w:before="360" w:after="240"/>
      <w:outlineLvl w:val="2"/>
    </w:pPr>
    <w:rPr>
      <w:rFonts w:ascii="Calibri" w:eastAsia="Calibri" w:hAnsi="Calibri" w:cs="Calibri"/>
      <w:b/>
      <w:bCs/>
      <w:color w:val="000000"/>
      <w:sz w:val="26"/>
      <w:szCs w:val="26"/>
    </w:rPr>
  </w:style>
  <w:style w:type="paragraph" w:styleId="Heading4">
    <w:name w:val="heading 4"/>
    <w:basedOn w:val="Normal"/>
    <w:next w:val="Normal"/>
    <w:pPr>
      <w:keepNext/>
      <w:keepLines/>
      <w:pBdr>
        <w:top w:val="nil"/>
        <w:left w:val="nil"/>
        <w:bottom w:val="nil"/>
        <w:right w:val="nil"/>
        <w:between w:val="nil"/>
      </w:pBdr>
      <w:spacing w:before="240" w:after="120"/>
      <w:outlineLvl w:val="3"/>
    </w:pPr>
    <w:rPr>
      <w:rFonts w:ascii="Calibri" w:eastAsia="Calibri" w:hAnsi="Calibri" w:cs="Calibri"/>
      <w:b/>
      <w:bCs/>
      <w:i/>
      <w:iCs/>
      <w:color w:val="000000"/>
    </w:rPr>
  </w:style>
  <w:style w:type="paragraph" w:styleId="Heading5">
    <w:name w:val="heading 5"/>
    <w:basedOn w:val="Normal"/>
    <w:next w:val="Normal"/>
    <w:pPr>
      <w:spacing w:after="240"/>
      <w:outlineLvl w:val="4"/>
    </w:pPr>
  </w:style>
  <w:style w:type="paragraph" w:styleId="Heading6">
    <w:name w:val="heading 6"/>
    <w:basedOn w:val="Normal"/>
    <w:next w:val="Normal"/>
    <w:pPr>
      <w:spacing w:after="240"/>
      <w:ind w:left="1440" w:hanging="72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706</Words>
  <Characters>4025</Characters>
  <Application>Microsoft Office Word</Application>
  <DocSecurity>0</DocSecurity>
  <Lines>33</Lines>
  <Paragraphs>9</Paragraphs>
  <ScaleCrop>false</ScaleCrop>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Teauama Atireti</cp:lastModifiedBy>
  <cp:revision>3</cp:revision>
  <dcterms:created xsi:type="dcterms:W3CDTF">2026-10-11T22:18:00Z</dcterms:created>
  <dcterms:modified xsi:type="dcterms:W3CDTF">2026-10-15T23:20:00Z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0x010100900D6753842E9B4F8701A86178E9952B</vt:lpwstr>
  </property>
</Properties>
</file>