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6D302" w14:textId="00CCB759" w:rsidR="00506645" w:rsidRDefault="00854FD9">
      <w:pPr>
        <w:pStyle w:val="Heading1"/>
        <w:spacing w:before="3000"/>
      </w:pPr>
      <w:bookmarkStart w:id="0" w:name="_86jl07vklsft" w:colFirst="0" w:colLast="0"/>
      <w:bookmarkEnd w:id="0"/>
      <w:r>
        <w:t>REQUEST FOR QUOTATION</w:t>
      </w:r>
      <w:r>
        <w:br/>
        <w:t>EVALUATION CRITERIA AND METHOD</w:t>
      </w:r>
      <w:r>
        <w:br/>
        <w:t xml:space="preserve">STANDARD </w:t>
      </w:r>
      <w:r w:rsidR="003E4A04">
        <w:t>S</w:t>
      </w:r>
      <w:r w:rsidR="00316BE9">
        <w:t>ERVICE</w:t>
      </w:r>
    </w:p>
    <w:p w14:paraId="1419AC73" w14:textId="77777777" w:rsidR="00506645" w:rsidRDefault="00506645">
      <w:pPr>
        <w:pStyle w:val="Heading2"/>
        <w:tabs>
          <w:tab w:val="left" w:pos="2835"/>
        </w:tabs>
        <w:spacing w:before="1200"/>
        <w:ind w:left="2835" w:hanging="2835"/>
        <w:jc w:val="center"/>
        <w:rPr>
          <w:sz w:val="24"/>
          <w:szCs w:val="24"/>
        </w:rPr>
      </w:pPr>
      <w:bookmarkStart w:id="1" w:name="rh1kkm5xse76" w:colFirst="0" w:colLast="0"/>
      <w:bookmarkStart w:id="2" w:name="y5ym0416t6ce" w:colFirst="0" w:colLast="0"/>
      <w:bookmarkStart w:id="3" w:name="_j0aya9ya3tzs" w:colFirst="0" w:colLast="0"/>
      <w:bookmarkEnd w:id="1"/>
      <w:bookmarkEnd w:id="2"/>
      <w:bookmarkEnd w:id="3"/>
    </w:p>
    <w:p w14:paraId="37F97E83" w14:textId="77777777" w:rsidR="00506645" w:rsidRDefault="00854FD9">
      <w:pPr>
        <w:pStyle w:val="Heading2"/>
        <w:tabs>
          <w:tab w:val="left" w:pos="2835"/>
        </w:tabs>
        <w:spacing w:before="1200"/>
        <w:ind w:left="2835" w:hanging="2835"/>
        <w:jc w:val="center"/>
        <w:rPr>
          <w:b w:val="0"/>
          <w:bCs w:val="0"/>
          <w:sz w:val="24"/>
          <w:szCs w:val="24"/>
        </w:rPr>
      </w:pPr>
      <w:r>
        <w:rPr>
          <w:sz w:val="24"/>
          <w:szCs w:val="24"/>
        </w:rPr>
        <w:t>Procurement No:</w:t>
      </w:r>
      <w:r w:rsidR="007F0107">
        <w:rPr>
          <w:sz w:val="24"/>
          <w:szCs w:val="24"/>
        </w:rPr>
        <w:t xml:space="preserve"> </w:t>
      </w:r>
      <w:r w:rsidR="007F0107" w:rsidRPr="007F0107">
        <w:rPr>
          <w:color w:val="222222"/>
          <w:sz w:val="24"/>
          <w:szCs w:val="24"/>
          <w:shd w:val="clear" w:color="auto" w:fill="FFFFFF"/>
        </w:rPr>
        <w:t>23-SS004-26</w:t>
      </w:r>
      <w:r w:rsidR="007F0107">
        <w:rPr>
          <w:rFonts w:ascii="Arial" w:hAnsi="Arial" w:cs="Arial"/>
          <w:color w:val="222222"/>
          <w:shd w:val="clear" w:color="auto" w:fill="FFFFFF"/>
        </w:rPr>
        <w:t> </w:t>
      </w:r>
    </w:p>
    <w:p w14:paraId="79772D0C" w14:textId="77777777" w:rsidR="00506645" w:rsidRDefault="00854FD9">
      <w:pPr>
        <w:rPr>
          <w:rFonts w:ascii="Calibri" w:eastAsia="Calibri" w:hAnsi="Calibri" w:cs="Calibri"/>
          <w:b/>
          <w:bCs/>
        </w:rPr>
      </w:pPr>
      <w:r>
        <w:br w:type="page"/>
      </w:r>
    </w:p>
    <w:p w14:paraId="6C080DCF" w14:textId="77777777" w:rsidR="00506645" w:rsidRDefault="00854FD9">
      <w:pPr>
        <w:pStyle w:val="Heading2"/>
        <w:spacing w:before="600"/>
        <w:jc w:val="center"/>
        <w:rPr>
          <w:sz w:val="28"/>
          <w:szCs w:val="28"/>
        </w:rPr>
      </w:pPr>
      <w:bookmarkStart w:id="4" w:name="_47g4f58vvkdi" w:colFirst="0" w:colLast="0"/>
      <w:bookmarkEnd w:id="4"/>
      <w:r>
        <w:rPr>
          <w:sz w:val="28"/>
          <w:szCs w:val="28"/>
        </w:rPr>
        <w:lastRenderedPageBreak/>
        <w:t>Evaluation criteria and method</w:t>
      </w:r>
    </w:p>
    <w:p w14:paraId="0C06A022" w14:textId="77777777" w:rsidR="00506645" w:rsidRDefault="00854FD9">
      <w:pPr>
        <w:spacing w:before="120"/>
        <w:jc w:val="both"/>
        <w:rPr>
          <w:rFonts w:ascii="Calibri" w:eastAsia="Calibri" w:hAnsi="Calibri" w:cs="Calibri"/>
        </w:rPr>
      </w:pPr>
      <w:r>
        <w:rPr>
          <w:rFonts w:ascii="Calibri" w:eastAsia="Calibri" w:hAnsi="Calibri" w:cs="Calibri"/>
        </w:rPr>
        <w:t>From the last time and date of submission of the Tenders to the time the Contract is awarded, if any Tenderer wishes to contact the Buyer on any matter related to its Tender, it should do so via email to the official email address.</w:t>
      </w:r>
    </w:p>
    <w:p w14:paraId="7539FB69" w14:textId="77777777" w:rsidR="00506645" w:rsidRDefault="00854FD9">
      <w:pPr>
        <w:spacing w:before="120"/>
        <w:jc w:val="both"/>
        <w:rPr>
          <w:rFonts w:ascii="Calibri" w:eastAsia="Calibri" w:hAnsi="Calibri" w:cs="Calibri"/>
        </w:rPr>
      </w:pPr>
      <w:bookmarkStart w:id="5" w:name="_fax3qqk8n8mg" w:colFirst="0" w:colLast="0"/>
      <w:bookmarkEnd w:id="5"/>
      <w:r>
        <w:rPr>
          <w:rFonts w:ascii="Calibri" w:eastAsia="Calibri" w:hAnsi="Calibri" w:cs="Calibri"/>
        </w:rPr>
        <w:t>Tenders will not be opened by the Buyer until after the deadline for submission of Tenders. In case of separate submissions of a Technical and Financial component, the Technical Component will be opened at one opening event, normally the day after the submission date, be listed in an opening protocol, submitted to, and thereafter be evaluated by the Evaluation Committee, without unnecessary delay. The Evaluation Committee, which has been appointed in according with the Buyer’s Procurement Laws, will first perform a Technical Evaluation. The Tenders that have passed the Technical Evaluation will thereafter be subject to a Financial Evaluation, which includes a calculation of the total scoring for both the Technical and the Financial Evaluation, in accordance with the formula presented below. The Financial Component will not be opened until after the Technical Evaluation is finalized, and then by a corresponding procedure.</w:t>
      </w:r>
    </w:p>
    <w:p w14:paraId="4C6EDACA" w14:textId="77777777" w:rsidR="00506645" w:rsidRDefault="00854FD9">
      <w:pPr>
        <w:spacing w:before="120"/>
        <w:jc w:val="both"/>
        <w:rPr>
          <w:rFonts w:ascii="Calibri" w:eastAsia="Calibri" w:hAnsi="Calibri" w:cs="Calibri"/>
        </w:rPr>
      </w:pPr>
      <w:r>
        <w:rPr>
          <w:rFonts w:ascii="Calibri" w:eastAsia="Calibri" w:hAnsi="Calibri" w:cs="Calibri"/>
        </w:rPr>
        <w:t>In case Tenders are allowed to be in one submission, only, the above will apply, except for the separate openings.</w:t>
      </w:r>
    </w:p>
    <w:p w14:paraId="53CC43BC" w14:textId="77777777" w:rsidR="00506645" w:rsidRDefault="00854FD9">
      <w:pPr>
        <w:spacing w:before="120"/>
        <w:jc w:val="both"/>
        <w:rPr>
          <w:rFonts w:ascii="Calibri" w:eastAsia="Calibri" w:hAnsi="Calibri" w:cs="Calibri"/>
        </w:rPr>
      </w:pPr>
      <w:r>
        <w:rPr>
          <w:rFonts w:ascii="Calibri" w:eastAsia="Calibri" w:hAnsi="Calibri" w:cs="Calibri"/>
        </w:rPr>
        <w:t xml:space="preserve">Selection will be based on the following process. The total possible score for the Technical component is maximum 100 points. </w:t>
      </w:r>
      <w:bookmarkStart w:id="6" w:name="atlo4217rh1x" w:colFirst="0" w:colLast="0"/>
      <w:bookmarkEnd w:id="6"/>
      <w:r>
        <w:rPr>
          <w:rFonts w:ascii="Calibri" w:eastAsia="Calibri" w:hAnsi="Calibri" w:cs="Calibri"/>
        </w:rPr>
        <w:t xml:space="preserve">70 % of the score received in the technical evaluation will be added to the obtained financial score, which is maximum </w:t>
      </w:r>
      <w:bookmarkStart w:id="7" w:name="1i7t0somlr7" w:colFirst="0" w:colLast="0"/>
      <w:bookmarkEnd w:id="7"/>
      <w:r>
        <w:rPr>
          <w:rFonts w:ascii="Calibri" w:eastAsia="Calibri" w:hAnsi="Calibri" w:cs="Calibri"/>
        </w:rPr>
        <w:t>30 points, and calculated as described below.</w:t>
      </w:r>
    </w:p>
    <w:p w14:paraId="5E4F60A8" w14:textId="77777777" w:rsidR="00506645" w:rsidRDefault="00506645">
      <w:pPr>
        <w:spacing w:before="120"/>
        <w:jc w:val="both"/>
        <w:rPr>
          <w:b/>
          <w:bCs/>
          <w:i/>
          <w:iCs/>
          <w:color w:val="FF0000"/>
        </w:rPr>
      </w:pPr>
    </w:p>
    <w:p w14:paraId="263BF34F" w14:textId="77777777" w:rsidR="00506645" w:rsidRDefault="00854FD9">
      <w:pPr>
        <w:spacing w:before="480"/>
        <w:jc w:val="center"/>
        <w:rPr>
          <w:rFonts w:ascii="Calibri" w:eastAsia="Calibri" w:hAnsi="Calibri" w:cs="Calibri"/>
          <w:color w:val="808080"/>
        </w:rPr>
      </w:pPr>
      <w:r>
        <w:rPr>
          <w:rFonts w:ascii="Calibri" w:eastAsia="Calibri" w:hAnsi="Calibri" w:cs="Calibri"/>
          <w:color w:val="808080"/>
        </w:rPr>
        <w:t>THE REMAINDER OF THIS PAGE LEFT INTENTIONALLY BLANK</w:t>
      </w:r>
    </w:p>
    <w:p w14:paraId="64F1F537" w14:textId="77777777" w:rsidR="00506645" w:rsidRDefault="00854FD9">
      <w:pPr>
        <w:rPr>
          <w:rFonts w:ascii="Calibri" w:eastAsia="Calibri" w:hAnsi="Calibri" w:cs="Calibri"/>
          <w:b/>
          <w:bCs/>
        </w:rPr>
      </w:pPr>
      <w:r>
        <w:br w:type="page"/>
      </w:r>
    </w:p>
    <w:p w14:paraId="31591ED1" w14:textId="77777777" w:rsidR="00506645" w:rsidRDefault="00854FD9">
      <w:pPr>
        <w:pStyle w:val="Heading3"/>
        <w:jc w:val="both"/>
        <w:rPr>
          <w:sz w:val="24"/>
          <w:szCs w:val="24"/>
        </w:rPr>
      </w:pPr>
      <w:bookmarkStart w:id="8" w:name="_vwrhpnat43ev" w:colFirst="0" w:colLast="0"/>
      <w:bookmarkEnd w:id="8"/>
      <w:r>
        <w:rPr>
          <w:sz w:val="24"/>
          <w:szCs w:val="24"/>
        </w:rPr>
        <w:lastRenderedPageBreak/>
        <w:t>Evaluation of technical components</w:t>
      </w:r>
    </w:p>
    <w:p w14:paraId="42FFF79D" w14:textId="77777777" w:rsidR="00506645" w:rsidRDefault="00854FD9">
      <w:pPr>
        <w:spacing w:after="240"/>
        <w:jc w:val="both"/>
      </w:pPr>
      <w:r>
        <w:rPr>
          <w:rFonts w:ascii="Calibri" w:eastAsia="Calibri" w:hAnsi="Calibri" w:cs="Calibri"/>
        </w:rPr>
        <w:t>A Tender will be rejected at this stage if it fails to respond to important aspects of the Specification. The detailed technical evaluation criteria and possible scores for each are as follows:</w:t>
      </w:r>
    </w:p>
    <w:tbl>
      <w:tblPr>
        <w:tblStyle w:val="a"/>
        <w:tblpPr w:leftFromText="142" w:rightFromText="142" w:vertAnchor="text" w:tblpY="83"/>
        <w:tblW w:w="915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0"/>
        <w:gridCol w:w="5367"/>
        <w:gridCol w:w="1360"/>
      </w:tblGrid>
      <w:tr w:rsidR="00506645" w14:paraId="4BC30FEF" w14:textId="77777777">
        <w:trPr>
          <w:cantSplit/>
          <w:tblHeader/>
        </w:trPr>
        <w:tc>
          <w:tcPr>
            <w:tcW w:w="2430" w:type="dxa"/>
            <w:vAlign w:val="center"/>
          </w:tcPr>
          <w:p w14:paraId="70CB2B02" w14:textId="77777777" w:rsidR="00506645" w:rsidRDefault="00854FD9">
            <w:p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Major Criteria</w:t>
            </w:r>
          </w:p>
        </w:tc>
        <w:tc>
          <w:tcPr>
            <w:tcW w:w="5367" w:type="dxa"/>
            <w:vAlign w:val="center"/>
          </w:tcPr>
          <w:p w14:paraId="3D3DD7EC" w14:textId="77777777" w:rsidR="00506645" w:rsidRDefault="00854FD9">
            <w:p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Details &amp; Sub-Criteria</w:t>
            </w:r>
          </w:p>
        </w:tc>
        <w:tc>
          <w:tcPr>
            <w:tcW w:w="1360" w:type="dxa"/>
            <w:vAlign w:val="center"/>
          </w:tcPr>
          <w:p w14:paraId="08915DAB" w14:textId="77777777" w:rsidR="00506645" w:rsidRDefault="00854FD9">
            <w:p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Possible Score</w:t>
            </w:r>
          </w:p>
        </w:tc>
      </w:tr>
      <w:tr w:rsidR="00294082" w14:paraId="7D852506" w14:textId="77777777">
        <w:trPr>
          <w:cantSplit/>
          <w:tblHeader/>
        </w:trPr>
        <w:tc>
          <w:tcPr>
            <w:tcW w:w="2430" w:type="dxa"/>
            <w:vAlign w:val="center"/>
          </w:tcPr>
          <w:p w14:paraId="042E3E4B" w14:textId="12D9332C" w:rsidR="00294082" w:rsidRPr="000B48C3" w:rsidRDefault="000B48C3">
            <w:pPr>
              <w:pBdr>
                <w:top w:val="nil"/>
                <w:left w:val="nil"/>
                <w:bottom w:val="nil"/>
                <w:right w:val="nil"/>
                <w:between w:val="nil"/>
              </w:pBdr>
              <w:jc w:val="center"/>
              <w:rPr>
                <w:rFonts w:ascii="Calibri" w:eastAsia="Calibri" w:hAnsi="Calibri" w:cs="Calibri"/>
                <w:color w:val="000000"/>
                <w:sz w:val="22"/>
                <w:szCs w:val="22"/>
              </w:rPr>
            </w:pPr>
            <w:r w:rsidRPr="000B48C3">
              <w:rPr>
                <w:rFonts w:ascii="Calibri" w:eastAsia="Calibri" w:hAnsi="Calibri" w:cs="Calibri"/>
                <w:color w:val="000000"/>
                <w:sz w:val="22"/>
                <w:szCs w:val="22"/>
              </w:rPr>
              <w:t>Firm/consortium’s experience and reputation in similar assignments</w:t>
            </w:r>
          </w:p>
        </w:tc>
        <w:tc>
          <w:tcPr>
            <w:tcW w:w="5367" w:type="dxa"/>
            <w:vAlign w:val="center"/>
          </w:tcPr>
          <w:p w14:paraId="7D187F30" w14:textId="2D604E65" w:rsidR="00294082" w:rsidRPr="002F6EC2" w:rsidRDefault="005F200D" w:rsidP="004C5719">
            <w:pPr>
              <w:pStyle w:val="ListParagraph"/>
              <w:numPr>
                <w:ilvl w:val="0"/>
                <w:numId w:val="7"/>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Experience in carrying out the charter service or any similar services in accordance with standard and quality (At least two references</w:t>
            </w:r>
            <w:r w:rsidR="00E828D0">
              <w:rPr>
                <w:rFonts w:ascii="Calibri" w:eastAsia="Calibri" w:hAnsi="Calibri" w:cs="Calibri"/>
                <w:color w:val="000000"/>
                <w:sz w:val="22"/>
                <w:szCs w:val="22"/>
              </w:rPr>
              <w:t>)</w:t>
            </w:r>
          </w:p>
        </w:tc>
        <w:tc>
          <w:tcPr>
            <w:tcW w:w="1360" w:type="dxa"/>
            <w:vAlign w:val="center"/>
          </w:tcPr>
          <w:p w14:paraId="2FD445C3" w14:textId="37C6DFF6" w:rsidR="00294082" w:rsidRPr="00857AB8" w:rsidRDefault="00B60243">
            <w:pPr>
              <w:pBdr>
                <w:top w:val="nil"/>
                <w:left w:val="nil"/>
                <w:bottom w:val="nil"/>
                <w:right w:val="nil"/>
                <w:between w:val="nil"/>
              </w:pBdr>
              <w:jc w:val="center"/>
              <w:rPr>
                <w:rFonts w:ascii="Calibri" w:eastAsia="Calibri" w:hAnsi="Calibri" w:cs="Calibri"/>
                <w:color w:val="000000"/>
              </w:rPr>
            </w:pPr>
            <w:r w:rsidRPr="00857AB8">
              <w:rPr>
                <w:rFonts w:ascii="Calibri" w:eastAsia="Calibri" w:hAnsi="Calibri" w:cs="Calibri"/>
                <w:color w:val="000000"/>
              </w:rPr>
              <w:t>10</w:t>
            </w:r>
          </w:p>
        </w:tc>
      </w:tr>
      <w:tr w:rsidR="00506645" w14:paraId="47799F76" w14:textId="77777777">
        <w:trPr>
          <w:cantSplit/>
          <w:tblHeader/>
        </w:trPr>
        <w:tc>
          <w:tcPr>
            <w:tcW w:w="2430" w:type="dxa"/>
            <w:tcMar>
              <w:top w:w="100" w:type="dxa"/>
              <w:left w:w="100" w:type="dxa"/>
              <w:bottom w:w="100" w:type="dxa"/>
              <w:right w:w="100" w:type="dxa"/>
            </w:tcMar>
          </w:tcPr>
          <w:p w14:paraId="1547211D" w14:textId="77777777" w:rsidR="00506645" w:rsidRDefault="00854FD9">
            <w:pPr>
              <w:spacing w:before="240" w:after="240"/>
              <w:rPr>
                <w:rFonts w:ascii="Calibri" w:eastAsia="Calibri" w:hAnsi="Calibri" w:cs="Calibri"/>
                <w:sz w:val="22"/>
                <w:szCs w:val="22"/>
              </w:rPr>
            </w:pPr>
            <w:r>
              <w:rPr>
                <w:rFonts w:ascii="Calibri" w:eastAsia="Calibri" w:hAnsi="Calibri" w:cs="Calibri"/>
                <w:sz w:val="22"/>
                <w:szCs w:val="22"/>
              </w:rPr>
              <w:t>Vessel passenger capacity and delivery time</w:t>
            </w:r>
          </w:p>
        </w:tc>
        <w:tc>
          <w:tcPr>
            <w:tcW w:w="5367" w:type="dxa"/>
            <w:tcMar>
              <w:top w:w="100" w:type="dxa"/>
              <w:left w:w="100" w:type="dxa"/>
              <w:bottom w:w="100" w:type="dxa"/>
              <w:right w:w="100" w:type="dxa"/>
            </w:tcMar>
          </w:tcPr>
          <w:p w14:paraId="64CE0E7B" w14:textId="77777777" w:rsidR="00506645" w:rsidRDefault="00854FD9">
            <w:pPr>
              <w:numPr>
                <w:ilvl w:val="0"/>
                <w:numId w:val="1"/>
              </w:numPr>
              <w:spacing w:before="240" w:after="240"/>
              <w:rPr>
                <w:sz w:val="22"/>
                <w:szCs w:val="22"/>
              </w:rPr>
            </w:pPr>
            <w:r>
              <w:rPr>
                <w:rFonts w:ascii="Calibri" w:eastAsia="Calibri" w:hAnsi="Calibri" w:cs="Calibri"/>
                <w:sz w:val="22"/>
                <w:szCs w:val="22"/>
              </w:rPr>
              <w:t>Ability of the vessel to carry the number of students and teachers required for the route, against the minimum capacity in the route schedule</w:t>
            </w:r>
          </w:p>
          <w:p w14:paraId="500E6052" w14:textId="77777777" w:rsidR="00506645" w:rsidRDefault="00854FD9">
            <w:pPr>
              <w:numPr>
                <w:ilvl w:val="0"/>
                <w:numId w:val="1"/>
              </w:numPr>
              <w:spacing w:before="240" w:after="240"/>
              <w:rPr>
                <w:rFonts w:ascii="Calibri" w:eastAsia="Calibri" w:hAnsi="Calibri" w:cs="Calibri"/>
                <w:sz w:val="22"/>
                <w:szCs w:val="22"/>
              </w:rPr>
            </w:pPr>
            <w:r>
              <w:rPr>
                <w:rFonts w:ascii="Calibri" w:eastAsia="Calibri" w:hAnsi="Calibri" w:cs="Calibri"/>
                <w:sz w:val="22"/>
                <w:szCs w:val="22"/>
              </w:rPr>
              <w:t>Proposed travel time to reach the destination islands, so students reach their families as quickly as possible</w:t>
            </w:r>
          </w:p>
        </w:tc>
        <w:tc>
          <w:tcPr>
            <w:tcW w:w="1360" w:type="dxa"/>
            <w:vAlign w:val="center"/>
          </w:tcPr>
          <w:p w14:paraId="5292093F" w14:textId="5415F073" w:rsidR="00506645" w:rsidRDefault="00B60243">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sz w:val="22"/>
                <w:szCs w:val="22"/>
              </w:rPr>
              <w:t>20</w:t>
            </w:r>
          </w:p>
        </w:tc>
      </w:tr>
      <w:tr w:rsidR="00506645" w14:paraId="741F3783" w14:textId="77777777">
        <w:trPr>
          <w:cantSplit/>
          <w:tblHeader/>
        </w:trPr>
        <w:tc>
          <w:tcPr>
            <w:tcW w:w="2430" w:type="dxa"/>
            <w:tcMar>
              <w:top w:w="100" w:type="dxa"/>
              <w:left w:w="100" w:type="dxa"/>
              <w:bottom w:w="100" w:type="dxa"/>
              <w:right w:w="100" w:type="dxa"/>
            </w:tcMar>
          </w:tcPr>
          <w:p w14:paraId="1FE74916" w14:textId="77777777" w:rsidR="00506645" w:rsidRDefault="00854FD9">
            <w:pPr>
              <w:spacing w:before="240" w:after="240"/>
              <w:rPr>
                <w:rFonts w:ascii="Calibri" w:eastAsia="Calibri" w:hAnsi="Calibri" w:cs="Calibri"/>
                <w:sz w:val="22"/>
                <w:szCs w:val="22"/>
              </w:rPr>
            </w:pPr>
            <w:r>
              <w:rPr>
                <w:rFonts w:ascii="Calibri" w:eastAsia="Calibri" w:hAnsi="Calibri" w:cs="Calibri"/>
                <w:sz w:val="22"/>
                <w:szCs w:val="22"/>
              </w:rPr>
              <w:t>Vessel Specification</w:t>
            </w:r>
          </w:p>
        </w:tc>
        <w:tc>
          <w:tcPr>
            <w:tcW w:w="5367" w:type="dxa"/>
            <w:tcMar>
              <w:top w:w="100" w:type="dxa"/>
              <w:left w:w="100" w:type="dxa"/>
              <w:bottom w:w="100" w:type="dxa"/>
              <w:right w:w="100" w:type="dxa"/>
            </w:tcMar>
          </w:tcPr>
          <w:p w14:paraId="06EB94F5" w14:textId="77777777" w:rsidR="00506645" w:rsidRDefault="00854FD9">
            <w:pPr>
              <w:numPr>
                <w:ilvl w:val="0"/>
                <w:numId w:val="2"/>
              </w:numPr>
              <w:spacing w:before="240" w:after="240"/>
              <w:rPr>
                <w:sz w:val="22"/>
                <w:szCs w:val="22"/>
              </w:rPr>
            </w:pPr>
            <w:r>
              <w:rPr>
                <w:rFonts w:ascii="Calibri" w:eastAsia="Calibri" w:hAnsi="Calibri" w:cs="Calibri"/>
                <w:sz w:val="22"/>
                <w:szCs w:val="22"/>
              </w:rPr>
              <w:t xml:space="preserve">Must have a valid: </w:t>
            </w:r>
          </w:p>
          <w:p w14:paraId="16BE24D1" w14:textId="77777777" w:rsidR="00506645" w:rsidRDefault="00854FD9">
            <w:pPr>
              <w:numPr>
                <w:ilvl w:val="0"/>
                <w:numId w:val="6"/>
              </w:numPr>
              <w:spacing w:before="240"/>
              <w:rPr>
                <w:rFonts w:ascii="Calibri" w:eastAsia="Calibri" w:hAnsi="Calibri" w:cs="Calibri"/>
                <w:sz w:val="22"/>
                <w:szCs w:val="22"/>
              </w:rPr>
            </w:pPr>
            <w:r>
              <w:rPr>
                <w:rFonts w:ascii="Calibri" w:eastAsia="Calibri" w:hAnsi="Calibri" w:cs="Calibri"/>
                <w:sz w:val="22"/>
                <w:szCs w:val="22"/>
              </w:rPr>
              <w:t>Certificate of Registration</w:t>
            </w:r>
          </w:p>
          <w:p w14:paraId="1797270B" w14:textId="77777777" w:rsidR="00506645" w:rsidRDefault="00854FD9">
            <w:pPr>
              <w:numPr>
                <w:ilvl w:val="0"/>
                <w:numId w:val="6"/>
              </w:numPr>
              <w:rPr>
                <w:rFonts w:ascii="Calibri" w:eastAsia="Calibri" w:hAnsi="Calibri" w:cs="Calibri"/>
                <w:sz w:val="22"/>
                <w:szCs w:val="22"/>
              </w:rPr>
            </w:pPr>
            <w:r>
              <w:rPr>
                <w:rFonts w:ascii="Calibri" w:eastAsia="Calibri" w:hAnsi="Calibri" w:cs="Calibri"/>
                <w:sz w:val="22"/>
                <w:szCs w:val="22"/>
              </w:rPr>
              <w:t>Vessel Sea Worthiness</w:t>
            </w:r>
          </w:p>
          <w:p w14:paraId="1CC17E8E" w14:textId="26DEEA7F" w:rsidR="00405005" w:rsidRPr="003209CC" w:rsidRDefault="00854FD9" w:rsidP="003209CC">
            <w:pPr>
              <w:numPr>
                <w:ilvl w:val="0"/>
                <w:numId w:val="6"/>
              </w:numPr>
              <w:spacing w:after="240"/>
              <w:rPr>
                <w:rFonts w:ascii="Calibri" w:eastAsia="Calibri" w:hAnsi="Calibri" w:cs="Calibri"/>
                <w:sz w:val="22"/>
                <w:szCs w:val="22"/>
              </w:rPr>
            </w:pPr>
            <w:r>
              <w:rPr>
                <w:rFonts w:ascii="Calibri" w:eastAsia="Calibri" w:hAnsi="Calibri" w:cs="Calibri"/>
                <w:sz w:val="22"/>
                <w:szCs w:val="22"/>
              </w:rPr>
              <w:t>Insurance</w:t>
            </w:r>
          </w:p>
        </w:tc>
        <w:tc>
          <w:tcPr>
            <w:tcW w:w="1360" w:type="dxa"/>
            <w:vAlign w:val="center"/>
          </w:tcPr>
          <w:p w14:paraId="4620D1D8" w14:textId="5C3E931D" w:rsidR="00506645" w:rsidRDefault="00854FD9">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sz w:val="22"/>
                <w:szCs w:val="22"/>
              </w:rPr>
              <w:t>2</w:t>
            </w:r>
            <w:r w:rsidR="00B60243">
              <w:rPr>
                <w:rFonts w:ascii="Calibri" w:eastAsia="Calibri" w:hAnsi="Calibri" w:cs="Calibri"/>
                <w:sz w:val="22"/>
                <w:szCs w:val="22"/>
              </w:rPr>
              <w:t>5</w:t>
            </w:r>
          </w:p>
        </w:tc>
      </w:tr>
      <w:tr w:rsidR="00506645" w14:paraId="681A459E" w14:textId="77777777">
        <w:trPr>
          <w:cantSplit/>
          <w:tblHeader/>
        </w:trPr>
        <w:tc>
          <w:tcPr>
            <w:tcW w:w="2430" w:type="dxa"/>
            <w:tcMar>
              <w:top w:w="100" w:type="dxa"/>
              <w:left w:w="100" w:type="dxa"/>
              <w:bottom w:w="100" w:type="dxa"/>
              <w:right w:w="100" w:type="dxa"/>
            </w:tcMar>
          </w:tcPr>
          <w:p w14:paraId="6CA199F1" w14:textId="77777777" w:rsidR="00506645" w:rsidRDefault="00854FD9">
            <w:pPr>
              <w:spacing w:before="240" w:after="240"/>
              <w:rPr>
                <w:rFonts w:ascii="Calibri" w:eastAsia="Calibri" w:hAnsi="Calibri" w:cs="Calibri"/>
                <w:sz w:val="22"/>
                <w:szCs w:val="22"/>
              </w:rPr>
            </w:pPr>
            <w:r>
              <w:rPr>
                <w:rFonts w:ascii="Calibri" w:eastAsia="Calibri" w:hAnsi="Calibri" w:cs="Calibri"/>
                <w:sz w:val="22"/>
                <w:szCs w:val="22"/>
              </w:rPr>
              <w:t>Vessel availability and readiness</w:t>
            </w:r>
          </w:p>
        </w:tc>
        <w:tc>
          <w:tcPr>
            <w:tcW w:w="5367" w:type="dxa"/>
            <w:tcMar>
              <w:top w:w="100" w:type="dxa"/>
              <w:left w:w="100" w:type="dxa"/>
              <w:bottom w:w="100" w:type="dxa"/>
              <w:right w:w="100" w:type="dxa"/>
            </w:tcMar>
          </w:tcPr>
          <w:p w14:paraId="0E9BAE69" w14:textId="77777777" w:rsidR="00506645" w:rsidRDefault="00854FD9">
            <w:pPr>
              <w:numPr>
                <w:ilvl w:val="0"/>
                <w:numId w:val="3"/>
              </w:numPr>
              <w:spacing w:before="240" w:after="240"/>
              <w:rPr>
                <w:sz w:val="22"/>
                <w:szCs w:val="22"/>
              </w:rPr>
            </w:pPr>
            <w:r>
              <w:rPr>
                <w:rFonts w:ascii="Calibri" w:eastAsia="Calibri" w:hAnsi="Calibri" w:cs="Calibri"/>
                <w:sz w:val="22"/>
                <w:szCs w:val="22"/>
              </w:rPr>
              <w:t>Availability immediately after completing a previous voyage, and ability to follow the "return and go" approach (return, one day for maintenance checks and resupply, then resume)</w:t>
            </w:r>
          </w:p>
        </w:tc>
        <w:tc>
          <w:tcPr>
            <w:tcW w:w="1360" w:type="dxa"/>
            <w:vAlign w:val="center"/>
          </w:tcPr>
          <w:p w14:paraId="057EAF5D" w14:textId="4D37A979" w:rsidR="00506645" w:rsidRDefault="00854FD9">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sz w:val="22"/>
                <w:szCs w:val="22"/>
              </w:rPr>
              <w:t>2</w:t>
            </w:r>
            <w:r w:rsidR="00B60243">
              <w:rPr>
                <w:rFonts w:ascii="Calibri" w:eastAsia="Calibri" w:hAnsi="Calibri" w:cs="Calibri"/>
                <w:sz w:val="22"/>
                <w:szCs w:val="22"/>
              </w:rPr>
              <w:t>0</w:t>
            </w:r>
          </w:p>
        </w:tc>
      </w:tr>
      <w:tr w:rsidR="00506645" w14:paraId="2A3C070B" w14:textId="77777777">
        <w:trPr>
          <w:cantSplit/>
          <w:tblHeader/>
        </w:trPr>
        <w:tc>
          <w:tcPr>
            <w:tcW w:w="2430" w:type="dxa"/>
            <w:tcMar>
              <w:top w:w="100" w:type="dxa"/>
              <w:left w:w="100" w:type="dxa"/>
              <w:bottom w:w="100" w:type="dxa"/>
              <w:right w:w="100" w:type="dxa"/>
            </w:tcMar>
          </w:tcPr>
          <w:p w14:paraId="52EDBF80" w14:textId="77777777" w:rsidR="00506645" w:rsidRDefault="00854FD9">
            <w:pPr>
              <w:spacing w:before="240" w:after="240"/>
              <w:jc w:val="both"/>
              <w:rPr>
                <w:rFonts w:ascii="Calibri" w:eastAsia="Calibri" w:hAnsi="Calibri" w:cs="Calibri"/>
                <w:sz w:val="22"/>
                <w:szCs w:val="22"/>
              </w:rPr>
            </w:pPr>
            <w:r>
              <w:rPr>
                <w:rFonts w:ascii="Calibri" w:eastAsia="Calibri" w:hAnsi="Calibri" w:cs="Calibri"/>
                <w:sz w:val="22"/>
                <w:szCs w:val="22"/>
              </w:rPr>
              <w:t>Comfort and quality of service</w:t>
            </w:r>
          </w:p>
        </w:tc>
        <w:tc>
          <w:tcPr>
            <w:tcW w:w="5367" w:type="dxa"/>
            <w:tcMar>
              <w:top w:w="100" w:type="dxa"/>
              <w:left w:w="100" w:type="dxa"/>
              <w:bottom w:w="100" w:type="dxa"/>
              <w:right w:w="100" w:type="dxa"/>
            </w:tcMar>
          </w:tcPr>
          <w:p w14:paraId="5BA1E5C5" w14:textId="77777777" w:rsidR="00506645" w:rsidRPr="003209CC" w:rsidRDefault="00854FD9">
            <w:pPr>
              <w:numPr>
                <w:ilvl w:val="0"/>
                <w:numId w:val="4"/>
              </w:numPr>
              <w:spacing w:before="240" w:after="240"/>
              <w:rPr>
                <w:sz w:val="22"/>
                <w:szCs w:val="22"/>
              </w:rPr>
            </w:pPr>
            <w:r>
              <w:rPr>
                <w:rFonts w:ascii="Calibri" w:eastAsia="Calibri" w:hAnsi="Calibri" w:cs="Calibri"/>
                <w:sz w:val="22"/>
                <w:szCs w:val="22"/>
              </w:rPr>
              <w:t>Comfort and quality of service for students being transported to their parents, and for teachers travelling to new stations</w:t>
            </w:r>
          </w:p>
          <w:p w14:paraId="05D86A12" w14:textId="6CF8AE86" w:rsidR="003209CC" w:rsidRDefault="003209CC">
            <w:pPr>
              <w:numPr>
                <w:ilvl w:val="0"/>
                <w:numId w:val="4"/>
              </w:numPr>
              <w:spacing w:before="240" w:after="240"/>
              <w:rPr>
                <w:sz w:val="22"/>
                <w:szCs w:val="22"/>
              </w:rPr>
            </w:pPr>
            <w:r w:rsidRPr="00D465D5">
              <w:rPr>
                <w:rFonts w:ascii="Calibri" w:eastAsia="Calibri" w:hAnsi="Calibri" w:cs="Calibri"/>
                <w:sz w:val="22"/>
                <w:szCs w:val="22"/>
              </w:rPr>
              <w:t>Have adequate facilities for passengers during the journey</w:t>
            </w:r>
          </w:p>
        </w:tc>
        <w:tc>
          <w:tcPr>
            <w:tcW w:w="1360" w:type="dxa"/>
            <w:vAlign w:val="center"/>
          </w:tcPr>
          <w:p w14:paraId="5A69DC79" w14:textId="77777777" w:rsidR="00506645" w:rsidRDefault="00854FD9">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sz w:val="22"/>
                <w:szCs w:val="22"/>
              </w:rPr>
              <w:t>25</w:t>
            </w:r>
          </w:p>
        </w:tc>
      </w:tr>
      <w:tr w:rsidR="00506645" w14:paraId="72E2C723" w14:textId="77777777">
        <w:trPr>
          <w:cantSplit/>
          <w:trHeight w:val="650"/>
          <w:tblHeader/>
        </w:trPr>
        <w:tc>
          <w:tcPr>
            <w:tcW w:w="7797" w:type="dxa"/>
            <w:gridSpan w:val="2"/>
            <w:vAlign w:val="center"/>
          </w:tcPr>
          <w:p w14:paraId="5BE6F8DA" w14:textId="77777777" w:rsidR="00506645" w:rsidRDefault="00854FD9">
            <w:pPr>
              <w:pBdr>
                <w:top w:val="nil"/>
                <w:left w:val="nil"/>
                <w:bottom w:val="nil"/>
                <w:right w:val="nil"/>
                <w:between w:val="nil"/>
              </w:pBdr>
              <w:jc w:val="both"/>
              <w:rPr>
                <w:rFonts w:ascii="Calibri" w:eastAsia="Calibri" w:hAnsi="Calibri" w:cs="Calibri"/>
                <w:color w:val="000000"/>
              </w:rPr>
            </w:pPr>
            <w:r>
              <w:rPr>
                <w:rFonts w:ascii="Calibri" w:eastAsia="Calibri" w:hAnsi="Calibri" w:cs="Calibri"/>
                <w:b/>
                <w:bCs/>
                <w:color w:val="000000"/>
              </w:rPr>
              <w:t>Total Possible Technical Score</w:t>
            </w:r>
          </w:p>
        </w:tc>
        <w:tc>
          <w:tcPr>
            <w:tcW w:w="1360" w:type="dxa"/>
            <w:vAlign w:val="center"/>
          </w:tcPr>
          <w:p w14:paraId="46E5A474" w14:textId="77777777" w:rsidR="00506645" w:rsidRDefault="00854FD9">
            <w:p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100</w:t>
            </w:r>
          </w:p>
        </w:tc>
      </w:tr>
    </w:tbl>
    <w:p w14:paraId="00FE711F" w14:textId="77777777" w:rsidR="00506645" w:rsidRDefault="00854FD9">
      <w:pPr>
        <w:spacing w:before="120"/>
        <w:rPr>
          <w:rFonts w:ascii="Calibri" w:eastAsia="Calibri" w:hAnsi="Calibri" w:cs="Calibri"/>
        </w:rPr>
      </w:pPr>
      <w:bookmarkStart w:id="9" w:name="_la5ksscx062n" w:colFirst="0" w:colLast="0"/>
      <w:bookmarkEnd w:id="9"/>
      <w:r>
        <w:rPr>
          <w:rFonts w:ascii="Calibri" w:eastAsia="Calibri" w:hAnsi="Calibri" w:cs="Calibri"/>
        </w:rPr>
        <w:t xml:space="preserve">The separate result of the technical evaluation will be the accumulated score obtained for each Tender multiplied with the weight of the technical component, </w:t>
      </w:r>
      <w:r>
        <w:rPr>
          <w:rFonts w:ascii="Calibri" w:eastAsia="Calibri" w:hAnsi="Calibri" w:cs="Calibri"/>
          <w:highlight w:val="yellow"/>
        </w:rPr>
        <w:t>70 %</w:t>
      </w:r>
      <w:r>
        <w:rPr>
          <w:rFonts w:ascii="Calibri" w:eastAsia="Calibri" w:hAnsi="Calibri" w:cs="Calibri"/>
        </w:rPr>
        <w:t>, as defined above:</w:t>
      </w:r>
    </w:p>
    <w:p w14:paraId="3C4658DA" w14:textId="77777777" w:rsidR="00506645" w:rsidRDefault="00854FD9">
      <w:pPr>
        <w:spacing w:before="120"/>
        <w:ind w:left="709"/>
        <w:rPr>
          <w:i/>
          <w:iCs/>
        </w:rPr>
      </w:pPr>
      <w:bookmarkStart w:id="10" w:name="_s11l2461i4cn" w:colFirst="0" w:colLast="0"/>
      <w:bookmarkEnd w:id="10"/>
      <w:r>
        <w:rPr>
          <w:rFonts w:ascii="Calibri" w:eastAsia="Calibri" w:hAnsi="Calibri" w:cs="Calibri"/>
          <w:i/>
          <w:iCs/>
        </w:rPr>
        <w:t xml:space="preserve">tv = ts * tw, </w:t>
      </w:r>
      <w:r>
        <w:rPr>
          <w:i/>
          <w:iCs/>
          <w:u w:val="single"/>
        </w:rPr>
        <w:t>where</w:t>
      </w:r>
      <w:r>
        <w:rPr>
          <w:i/>
          <w:iCs/>
        </w:rPr>
        <w:t>:</w:t>
      </w:r>
    </w:p>
    <w:p w14:paraId="71CB6B93" w14:textId="77777777" w:rsidR="00506645" w:rsidRDefault="00854FD9">
      <w:pPr>
        <w:widowControl w:val="0"/>
        <w:pBdr>
          <w:top w:val="nil"/>
          <w:left w:val="nil"/>
          <w:bottom w:val="nil"/>
          <w:right w:val="nil"/>
          <w:between w:val="nil"/>
        </w:pBdr>
        <w:ind w:left="2160"/>
        <w:jc w:val="both"/>
        <w:rPr>
          <w:rFonts w:ascii="Calibri" w:eastAsia="Calibri" w:hAnsi="Calibri" w:cs="Calibri"/>
          <w:color w:val="000000"/>
          <w:sz w:val="20"/>
          <w:szCs w:val="20"/>
        </w:rPr>
      </w:pPr>
      <w:r>
        <w:rPr>
          <w:rFonts w:ascii="Calibri" w:eastAsia="Calibri" w:hAnsi="Calibri" w:cs="Calibri"/>
          <w:color w:val="000000"/>
          <w:sz w:val="20"/>
          <w:szCs w:val="20"/>
        </w:rPr>
        <w:t>tv = total technical value</w:t>
      </w:r>
    </w:p>
    <w:p w14:paraId="23EADD8A" w14:textId="77777777" w:rsidR="00506645" w:rsidRDefault="00854FD9">
      <w:pPr>
        <w:widowControl w:val="0"/>
        <w:pBdr>
          <w:top w:val="nil"/>
          <w:left w:val="nil"/>
          <w:bottom w:val="nil"/>
          <w:right w:val="nil"/>
          <w:between w:val="nil"/>
        </w:pBdr>
        <w:ind w:left="2160"/>
        <w:jc w:val="both"/>
        <w:rPr>
          <w:rFonts w:ascii="Calibri" w:eastAsia="Calibri" w:hAnsi="Calibri" w:cs="Calibri"/>
          <w:color w:val="000000"/>
          <w:sz w:val="20"/>
          <w:szCs w:val="20"/>
        </w:rPr>
      </w:pPr>
      <w:r>
        <w:rPr>
          <w:rFonts w:ascii="Calibri" w:eastAsia="Calibri" w:hAnsi="Calibri" w:cs="Calibri"/>
          <w:color w:val="000000"/>
          <w:sz w:val="20"/>
          <w:szCs w:val="20"/>
        </w:rPr>
        <w:lastRenderedPageBreak/>
        <w:t>ts = technical result (technical score)</w:t>
      </w:r>
    </w:p>
    <w:p w14:paraId="0441C9C8" w14:textId="77777777" w:rsidR="00506645" w:rsidRDefault="00854FD9">
      <w:pPr>
        <w:widowControl w:val="0"/>
        <w:pBdr>
          <w:top w:val="nil"/>
          <w:left w:val="nil"/>
          <w:bottom w:val="nil"/>
          <w:right w:val="nil"/>
          <w:between w:val="nil"/>
        </w:pBdr>
        <w:ind w:left="2160"/>
        <w:jc w:val="both"/>
        <w:rPr>
          <w:rFonts w:ascii="Calibri" w:eastAsia="Calibri" w:hAnsi="Calibri" w:cs="Calibri"/>
          <w:color w:val="000000"/>
          <w:sz w:val="20"/>
          <w:szCs w:val="20"/>
        </w:rPr>
      </w:pPr>
      <w:r>
        <w:rPr>
          <w:rFonts w:ascii="Calibri" w:eastAsia="Calibri" w:hAnsi="Calibri" w:cs="Calibri"/>
          <w:color w:val="000000"/>
          <w:sz w:val="20"/>
          <w:szCs w:val="20"/>
        </w:rPr>
        <w:t>tw = technical weight in % (technical weight)</w:t>
      </w:r>
    </w:p>
    <w:p w14:paraId="6AE6BE8B" w14:textId="77777777" w:rsidR="00506645" w:rsidRDefault="00854FD9">
      <w:pPr>
        <w:spacing w:before="120"/>
        <w:rPr>
          <w:rFonts w:ascii="Calibri" w:eastAsia="Calibri" w:hAnsi="Calibri" w:cs="Calibri"/>
        </w:rPr>
      </w:pPr>
      <w:r>
        <w:rPr>
          <w:rFonts w:ascii="Calibri" w:eastAsia="Calibri" w:hAnsi="Calibri" w:cs="Calibri"/>
        </w:rPr>
        <w:t>This is integrated in the final evaluation of technical and financial components, below.</w:t>
      </w:r>
    </w:p>
    <w:p w14:paraId="3128BFE0" w14:textId="77777777" w:rsidR="00506645" w:rsidRDefault="00854FD9">
      <w:pPr>
        <w:pStyle w:val="Heading3"/>
      </w:pPr>
      <w:bookmarkStart w:id="11" w:name="_2pozh4u4qgpi" w:colFirst="0" w:colLast="0"/>
      <w:bookmarkEnd w:id="11"/>
      <w:r>
        <w:t>Evaluation of financial components</w:t>
      </w:r>
    </w:p>
    <w:p w14:paraId="0355C514" w14:textId="77777777" w:rsidR="00506645" w:rsidRDefault="00854FD9">
      <w:pPr>
        <w:spacing w:after="240"/>
        <w:rPr>
          <w:rFonts w:ascii="Calibri" w:eastAsia="Calibri" w:hAnsi="Calibri" w:cs="Calibri"/>
        </w:rPr>
      </w:pPr>
      <w:r>
        <w:rPr>
          <w:rFonts w:ascii="Calibri" w:eastAsia="Calibri" w:hAnsi="Calibri" w:cs="Calibri"/>
        </w:rPr>
        <w:t xml:space="preserve">The total possible score for the financial component is </w:t>
      </w:r>
      <w:r>
        <w:rPr>
          <w:rFonts w:ascii="Calibri" w:eastAsia="Calibri" w:hAnsi="Calibri" w:cs="Calibri"/>
          <w:highlight w:val="yellow"/>
        </w:rPr>
        <w:t>30 points</w:t>
      </w:r>
      <w:r>
        <w:rPr>
          <w:rFonts w:ascii="Calibri" w:eastAsia="Calibri" w:hAnsi="Calibri" w:cs="Calibri"/>
        </w:rPr>
        <w:t>. The maximum number of points assigned to financial component shall be allocated to the lowest priced Tender. All other financial Tenders shall receive points in inverse proportion according to the following formula:</w:t>
      </w:r>
    </w:p>
    <w:p w14:paraId="0C76356F" w14:textId="77777777" w:rsidR="00506645" w:rsidRDefault="00854FD9">
      <w:pPr>
        <w:ind w:firstLine="720"/>
        <w:rPr>
          <w:rFonts w:ascii="Calibri" w:eastAsia="Calibri" w:hAnsi="Calibri" w:cs="Calibri"/>
          <w:i/>
          <w:iCs/>
          <w:sz w:val="20"/>
          <w:szCs w:val="20"/>
          <w:u w:val="single"/>
        </w:rPr>
      </w:pPr>
      <w:r>
        <w:rPr>
          <w:rFonts w:ascii="Calibri" w:eastAsia="Calibri" w:hAnsi="Calibri" w:cs="Calibri"/>
          <w:i/>
          <w:iCs/>
        </w:rPr>
        <w:t>p = y * (x / z</w:t>
      </w:r>
      <w:r>
        <w:rPr>
          <w:rFonts w:ascii="Calibri" w:eastAsia="Calibri" w:hAnsi="Calibri" w:cs="Calibri"/>
          <w:i/>
          <w:iCs/>
          <w:sz w:val="20"/>
          <w:szCs w:val="20"/>
          <w:u w:val="single"/>
        </w:rPr>
        <w:t>), where:</w:t>
      </w:r>
    </w:p>
    <w:p w14:paraId="2DEC9A66" w14:textId="77777777" w:rsidR="00506645" w:rsidRDefault="00854FD9">
      <w:pPr>
        <w:widowControl w:val="0"/>
        <w:pBdr>
          <w:top w:val="nil"/>
          <w:left w:val="nil"/>
          <w:bottom w:val="nil"/>
          <w:right w:val="nil"/>
          <w:between w:val="nil"/>
        </w:pBdr>
        <w:ind w:left="2160"/>
        <w:jc w:val="both"/>
        <w:rPr>
          <w:rFonts w:ascii="Calibri" w:eastAsia="Calibri" w:hAnsi="Calibri" w:cs="Calibri"/>
          <w:color w:val="000000"/>
          <w:sz w:val="20"/>
          <w:szCs w:val="20"/>
        </w:rPr>
      </w:pPr>
      <w:r>
        <w:rPr>
          <w:rFonts w:ascii="Calibri" w:eastAsia="Calibri" w:hAnsi="Calibri" w:cs="Calibri"/>
          <w:color w:val="000000"/>
          <w:sz w:val="20"/>
          <w:szCs w:val="20"/>
        </w:rPr>
        <w:t>p = points for the financial Tender being evaluated</w:t>
      </w:r>
    </w:p>
    <w:p w14:paraId="68EC01EF" w14:textId="77777777" w:rsidR="00506645" w:rsidRDefault="00854FD9">
      <w:pPr>
        <w:widowControl w:val="0"/>
        <w:pBdr>
          <w:top w:val="nil"/>
          <w:left w:val="nil"/>
          <w:bottom w:val="nil"/>
          <w:right w:val="nil"/>
          <w:between w:val="nil"/>
        </w:pBdr>
        <w:ind w:left="2160"/>
        <w:jc w:val="both"/>
        <w:rPr>
          <w:rFonts w:ascii="Calibri" w:eastAsia="Calibri" w:hAnsi="Calibri" w:cs="Calibri"/>
          <w:color w:val="000000"/>
          <w:sz w:val="20"/>
          <w:szCs w:val="20"/>
        </w:rPr>
      </w:pPr>
      <w:r>
        <w:rPr>
          <w:rFonts w:ascii="Calibri" w:eastAsia="Calibri" w:hAnsi="Calibri" w:cs="Calibri"/>
          <w:color w:val="000000"/>
          <w:sz w:val="20"/>
          <w:szCs w:val="20"/>
        </w:rPr>
        <w:t>y = maximum number of points available for the financial Tender</w:t>
      </w:r>
    </w:p>
    <w:p w14:paraId="41132795" w14:textId="77777777" w:rsidR="00506645" w:rsidRDefault="00854FD9">
      <w:pPr>
        <w:widowControl w:val="0"/>
        <w:pBdr>
          <w:top w:val="nil"/>
          <w:left w:val="nil"/>
          <w:bottom w:val="nil"/>
          <w:right w:val="nil"/>
          <w:between w:val="nil"/>
        </w:pBdr>
        <w:ind w:left="2160"/>
        <w:jc w:val="both"/>
        <w:rPr>
          <w:rFonts w:ascii="Calibri" w:eastAsia="Calibri" w:hAnsi="Calibri" w:cs="Calibri"/>
          <w:color w:val="000000"/>
          <w:sz w:val="20"/>
          <w:szCs w:val="20"/>
        </w:rPr>
      </w:pPr>
      <w:r>
        <w:rPr>
          <w:rFonts w:ascii="Calibri" w:eastAsia="Calibri" w:hAnsi="Calibri" w:cs="Calibri"/>
          <w:color w:val="000000"/>
          <w:sz w:val="20"/>
          <w:szCs w:val="20"/>
        </w:rPr>
        <w:t>x = price of the lowest priced Tender</w:t>
      </w:r>
    </w:p>
    <w:p w14:paraId="16E25F57" w14:textId="77777777" w:rsidR="00506645" w:rsidRDefault="00854FD9">
      <w:pPr>
        <w:widowControl w:val="0"/>
        <w:pBdr>
          <w:top w:val="nil"/>
          <w:left w:val="nil"/>
          <w:bottom w:val="nil"/>
          <w:right w:val="nil"/>
          <w:between w:val="nil"/>
        </w:pBdr>
        <w:ind w:left="2160"/>
        <w:jc w:val="both"/>
        <w:rPr>
          <w:rFonts w:ascii="Calibri" w:eastAsia="Calibri" w:hAnsi="Calibri" w:cs="Calibri"/>
          <w:color w:val="000000"/>
          <w:sz w:val="20"/>
          <w:szCs w:val="20"/>
        </w:rPr>
      </w:pPr>
      <w:r>
        <w:rPr>
          <w:rFonts w:ascii="Calibri" w:eastAsia="Calibri" w:hAnsi="Calibri" w:cs="Calibri"/>
          <w:color w:val="000000"/>
          <w:sz w:val="20"/>
          <w:szCs w:val="20"/>
        </w:rPr>
        <w:t>z = price of the Tender being evaluated</w:t>
      </w:r>
    </w:p>
    <w:p w14:paraId="057048C7" w14:textId="77777777" w:rsidR="00506645" w:rsidRDefault="00854FD9">
      <w:pPr>
        <w:spacing w:before="120"/>
        <w:rPr>
          <w:rFonts w:ascii="Calibri" w:eastAsia="Calibri" w:hAnsi="Calibri" w:cs="Calibri"/>
        </w:rPr>
      </w:pPr>
      <w:r>
        <w:rPr>
          <w:rFonts w:ascii="Calibri" w:eastAsia="Calibri" w:hAnsi="Calibri" w:cs="Calibri"/>
        </w:rPr>
        <w:t>This is integrated in the final evaluation of technical and financial components, below.</w:t>
      </w:r>
    </w:p>
    <w:p w14:paraId="3FA4A84D" w14:textId="77777777" w:rsidR="00506645" w:rsidRDefault="00854FD9">
      <w:pPr>
        <w:pStyle w:val="Heading3"/>
      </w:pPr>
      <w:bookmarkStart w:id="12" w:name="_5dir4jpbhi7z" w:colFirst="0" w:colLast="0"/>
      <w:bookmarkEnd w:id="12"/>
      <w:r>
        <w:t>Evaluation of technical and financial components for total scoring</w:t>
      </w:r>
    </w:p>
    <w:p w14:paraId="2AD959AE" w14:textId="77777777" w:rsidR="00506645" w:rsidRDefault="00854FD9">
      <w:pPr>
        <w:rPr>
          <w:rFonts w:ascii="Calibri" w:eastAsia="Calibri" w:hAnsi="Calibri" w:cs="Calibri"/>
        </w:rPr>
      </w:pPr>
      <w:r>
        <w:rPr>
          <w:rFonts w:ascii="Calibri" w:eastAsia="Calibri" w:hAnsi="Calibri" w:cs="Calibri"/>
        </w:rPr>
        <w:t>To determine which Tender that presents the best Value for Money, the score for the technical component is added to the score for the financial component. The totally highest score after this is the best Tender. The formula used for the complete and final evaluation is:</w:t>
      </w:r>
    </w:p>
    <w:p w14:paraId="6F523B87" w14:textId="77777777" w:rsidR="00506645" w:rsidRDefault="00854FD9">
      <w:pPr>
        <w:spacing w:before="120"/>
        <w:ind w:left="709"/>
        <w:rPr>
          <w:rFonts w:ascii="Calibri" w:eastAsia="Calibri" w:hAnsi="Calibri" w:cs="Calibri"/>
          <w:b/>
          <w:bCs/>
        </w:rPr>
      </w:pPr>
      <w:bookmarkStart w:id="13" w:name="_2hovbhptrgf2" w:colFirst="0" w:colLast="0"/>
      <w:bookmarkEnd w:id="13"/>
      <w:r>
        <w:rPr>
          <w:rFonts w:ascii="Calibri" w:eastAsia="Calibri" w:hAnsi="Calibri" w:cs="Calibri"/>
          <w:b/>
          <w:bCs/>
        </w:rPr>
        <w:t>E = (ts * tw) + ((lc / tc) * fw)</w:t>
      </w:r>
      <w:r>
        <w:rPr>
          <w:rFonts w:ascii="Calibri" w:eastAsia="Calibri" w:hAnsi="Calibri" w:cs="Calibri"/>
        </w:rPr>
        <w:t>, where</w:t>
      </w:r>
    </w:p>
    <w:p w14:paraId="40C2A9A5" w14:textId="77777777" w:rsidR="00506645" w:rsidRDefault="00854FD9">
      <w:pPr>
        <w:spacing w:before="120"/>
        <w:ind w:left="1418"/>
        <w:rPr>
          <w:rFonts w:ascii="Calibri" w:eastAsia="Calibri" w:hAnsi="Calibri" w:cs="Calibri"/>
          <w:sz w:val="20"/>
          <w:szCs w:val="20"/>
        </w:rPr>
      </w:pPr>
      <w:r>
        <w:rPr>
          <w:rFonts w:ascii="Calibri" w:eastAsia="Calibri" w:hAnsi="Calibri" w:cs="Calibri"/>
          <w:sz w:val="20"/>
          <w:szCs w:val="20"/>
        </w:rPr>
        <w:t>E = evaluation result for the relevant Tender</w:t>
      </w:r>
    </w:p>
    <w:p w14:paraId="06F305AC" w14:textId="77777777" w:rsidR="00506645" w:rsidRDefault="00854FD9">
      <w:pPr>
        <w:ind w:left="1701"/>
        <w:rPr>
          <w:rFonts w:ascii="Calibri" w:eastAsia="Calibri" w:hAnsi="Calibri" w:cs="Calibri"/>
          <w:sz w:val="20"/>
          <w:szCs w:val="20"/>
        </w:rPr>
      </w:pPr>
      <w:bookmarkStart w:id="14" w:name="_cob8q4wg5ypk" w:colFirst="0" w:colLast="0"/>
      <w:bookmarkEnd w:id="14"/>
      <w:r>
        <w:rPr>
          <w:rFonts w:ascii="Calibri" w:eastAsia="Calibri" w:hAnsi="Calibri" w:cs="Calibri"/>
          <w:sz w:val="20"/>
          <w:szCs w:val="20"/>
        </w:rPr>
        <w:t>ts = technical result (technical score)</w:t>
      </w:r>
    </w:p>
    <w:p w14:paraId="342D4C16" w14:textId="77777777" w:rsidR="00506645" w:rsidRDefault="00854FD9">
      <w:pPr>
        <w:ind w:left="1701"/>
        <w:rPr>
          <w:rFonts w:ascii="Calibri" w:eastAsia="Calibri" w:hAnsi="Calibri" w:cs="Calibri"/>
          <w:sz w:val="20"/>
          <w:szCs w:val="20"/>
        </w:rPr>
      </w:pPr>
      <w:r>
        <w:rPr>
          <w:rFonts w:ascii="Calibri" w:eastAsia="Calibri" w:hAnsi="Calibri" w:cs="Calibri"/>
          <w:sz w:val="20"/>
          <w:szCs w:val="20"/>
        </w:rPr>
        <w:t>tw = technical weight in % (technical weight)</w:t>
      </w:r>
    </w:p>
    <w:p w14:paraId="48CCAF19" w14:textId="77777777" w:rsidR="00506645" w:rsidRDefault="00854FD9">
      <w:pPr>
        <w:ind w:left="1701"/>
        <w:rPr>
          <w:rFonts w:ascii="Calibri" w:eastAsia="Calibri" w:hAnsi="Calibri" w:cs="Calibri"/>
          <w:sz w:val="20"/>
          <w:szCs w:val="20"/>
        </w:rPr>
      </w:pPr>
      <w:r>
        <w:rPr>
          <w:rFonts w:ascii="Calibri" w:eastAsia="Calibri" w:hAnsi="Calibri" w:cs="Calibri"/>
          <w:sz w:val="20"/>
          <w:szCs w:val="20"/>
        </w:rPr>
        <w:t>lc = cost of the lowest financial Tender (lowest cost)</w:t>
      </w:r>
    </w:p>
    <w:p w14:paraId="6F663A61" w14:textId="77777777" w:rsidR="00506645" w:rsidRDefault="00854FD9">
      <w:pPr>
        <w:ind w:left="1701"/>
        <w:rPr>
          <w:rFonts w:ascii="Calibri" w:eastAsia="Calibri" w:hAnsi="Calibri" w:cs="Calibri"/>
          <w:sz w:val="20"/>
          <w:szCs w:val="20"/>
        </w:rPr>
      </w:pPr>
      <w:r>
        <w:rPr>
          <w:rFonts w:ascii="Calibri" w:eastAsia="Calibri" w:hAnsi="Calibri" w:cs="Calibri"/>
          <w:sz w:val="20"/>
          <w:szCs w:val="20"/>
        </w:rPr>
        <w:t>tc = cost of the Tender being evaluated (tender cost)</w:t>
      </w:r>
    </w:p>
    <w:p w14:paraId="3FDA9572" w14:textId="77777777" w:rsidR="00506645" w:rsidRDefault="00854FD9">
      <w:pPr>
        <w:ind w:left="1701"/>
        <w:rPr>
          <w:rFonts w:ascii="Calibri" w:eastAsia="Calibri" w:hAnsi="Calibri" w:cs="Calibri"/>
          <w:sz w:val="20"/>
          <w:szCs w:val="20"/>
        </w:rPr>
      </w:pPr>
      <w:r>
        <w:rPr>
          <w:rFonts w:ascii="Calibri" w:eastAsia="Calibri" w:hAnsi="Calibri" w:cs="Calibri"/>
          <w:sz w:val="20"/>
          <w:szCs w:val="20"/>
        </w:rPr>
        <w:t>fw = financial weight</w:t>
      </w:r>
    </w:p>
    <w:p w14:paraId="3FA41A25" w14:textId="77777777" w:rsidR="00506645" w:rsidRDefault="00854FD9">
      <w:pPr>
        <w:pStyle w:val="Heading3"/>
      </w:pPr>
      <w:r>
        <w:t>Equal scoring result</w:t>
      </w:r>
    </w:p>
    <w:p w14:paraId="158BCE38" w14:textId="77777777" w:rsidR="00506645" w:rsidRDefault="00854FD9">
      <w:pPr>
        <w:spacing w:before="120"/>
        <w:jc w:val="both"/>
        <w:rPr>
          <w:rFonts w:ascii="Calibri" w:eastAsia="Calibri" w:hAnsi="Calibri" w:cs="Calibri"/>
        </w:rPr>
      </w:pPr>
      <w:r>
        <w:rPr>
          <w:rFonts w:ascii="Calibri" w:eastAsia="Calibri" w:hAnsi="Calibri" w:cs="Calibri"/>
        </w:rPr>
        <w:t>In the case of equal results of the total scoring between two or more Tenders, the following shall apply:</w:t>
      </w:r>
    </w:p>
    <w:p w14:paraId="2F72E67A" w14:textId="77777777" w:rsidR="00506645" w:rsidRDefault="00854FD9">
      <w:pPr>
        <w:widowControl w:val="0"/>
        <w:numPr>
          <w:ilvl w:val="0"/>
          <w:numId w:val="5"/>
        </w:num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The highest technical score is awarded the Contract</w:t>
      </w:r>
    </w:p>
    <w:p w14:paraId="6600AFA2" w14:textId="77777777" w:rsidR="00506645" w:rsidRDefault="00854FD9">
      <w:pPr>
        <w:widowControl w:val="0"/>
        <w:numPr>
          <w:ilvl w:val="0"/>
          <w:numId w:val="5"/>
        </w:num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If still equal, the equally scored Tenderers will be invited to submit a ‘Best and Final Tender’ on the financial component</w:t>
      </w:r>
    </w:p>
    <w:p w14:paraId="435EC779" w14:textId="77777777" w:rsidR="00506645" w:rsidRDefault="00854FD9">
      <w:pPr>
        <w:widowControl w:val="0"/>
        <w:numPr>
          <w:ilvl w:val="0"/>
          <w:numId w:val="5"/>
        </w:num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Should the above, very exceptionally, not result in determining the best value for money, the award of a Contract will be decided by drawing of lots</w:t>
      </w:r>
    </w:p>
    <w:p w14:paraId="26173CD5" w14:textId="77777777" w:rsidR="00506645" w:rsidRDefault="00506645">
      <w:pPr>
        <w:spacing w:before="120"/>
        <w:jc w:val="both"/>
        <w:rPr>
          <w:rFonts w:ascii="Calibri" w:eastAsia="Calibri" w:hAnsi="Calibri" w:cs="Calibri"/>
        </w:rPr>
      </w:pPr>
    </w:p>
    <w:sectPr w:rsidR="00506645">
      <w:headerReference w:type="default" r:id="rId7"/>
      <w:footerReference w:type="default" r:id="rId8"/>
      <w:headerReference w:type="first" r:id="rId9"/>
      <w:pgSz w:w="11907" w:h="16839"/>
      <w:pgMar w:top="1560" w:right="1152" w:bottom="1080" w:left="1152" w:header="284" w:footer="41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1EC57" w14:textId="77777777" w:rsidR="00511179" w:rsidRDefault="00511179">
      <w:r>
        <w:separator/>
      </w:r>
    </w:p>
  </w:endnote>
  <w:endnote w:type="continuationSeparator" w:id="0">
    <w:p w14:paraId="4964C1E2" w14:textId="77777777" w:rsidR="00511179" w:rsidRDefault="00511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34CC5853-B1AF-4DEC-B4E0-4B4B8C050769}"/>
  </w:font>
  <w:font w:name="Calibri">
    <w:panose1 w:val="020F0502020204030204"/>
    <w:charset w:val="00"/>
    <w:family w:val="swiss"/>
    <w:pitch w:val="variable"/>
    <w:sig w:usb0="E4002EFF" w:usb1="C200247B" w:usb2="00000009" w:usb3="00000000" w:csb0="000001FF" w:csb1="00000000"/>
    <w:embedRegular r:id="rId2" w:fontKey="{518ABF28-202E-4A17-9243-5397911B4559}"/>
    <w:embedBold r:id="rId3" w:fontKey="{0E499853-76A8-4C15-B418-00B3A0309A41}"/>
    <w:embedItalic r:id="rId4" w:fontKey="{07983545-FF1A-4C32-B4BC-EA0FC3B6E2D8}"/>
    <w:embedBoldItalic r:id="rId5" w:fontKey="{C99F0AB9-3AFC-42C8-A456-E4FFAE63C03D}"/>
  </w:font>
  <w:font w:name="Georgia">
    <w:panose1 w:val="02040502050405020303"/>
    <w:charset w:val="00"/>
    <w:family w:val="roman"/>
    <w:pitch w:val="variable"/>
    <w:sig w:usb0="00000287" w:usb1="00000000" w:usb2="00000000" w:usb3="00000000" w:csb0="0000009F" w:csb1="00000000"/>
    <w:embedItalic r:id="rId6" w:fontKey="{6F23D52E-7C69-4320-98B7-5F2CB3ACDF3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6BDB9A34-E9AD-4A66-AEF4-23DEABB612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9F7E" w14:textId="77777777" w:rsidR="00506645" w:rsidRDefault="00854FD9">
    <w:pPr>
      <w:tabs>
        <w:tab w:val="center" w:pos="4550"/>
        <w:tab w:val="left" w:pos="5818"/>
      </w:tabs>
      <w:ind w:right="260"/>
      <w:jc w:val="right"/>
      <w:rPr>
        <w:color w:val="0F243E"/>
      </w:rPr>
    </w:pPr>
    <w:r>
      <w:rPr>
        <w:color w:val="548DD4"/>
      </w:rPr>
      <w:t xml:space="preserve">Page </w:t>
    </w:r>
    <w:r>
      <w:rPr>
        <w:color w:val="17365D"/>
      </w:rPr>
      <w:fldChar w:fldCharType="begin"/>
    </w:r>
    <w:r>
      <w:rPr>
        <w:color w:val="17365D"/>
      </w:rPr>
      <w:instrText>PAGE</w:instrText>
    </w:r>
    <w:r>
      <w:rPr>
        <w:color w:val="17365D"/>
      </w:rPr>
      <w:fldChar w:fldCharType="separate"/>
    </w:r>
    <w:r w:rsidR="007F0107">
      <w:rPr>
        <w:noProof/>
        <w:color w:val="17365D"/>
      </w:rPr>
      <w:t>3</w:t>
    </w:r>
    <w:r>
      <w:rPr>
        <w:color w:val="17365D"/>
      </w:rPr>
      <w:fldChar w:fldCharType="end"/>
    </w:r>
    <w:r>
      <w:rPr>
        <w:color w:val="17365D"/>
      </w:rPr>
      <w:t xml:space="preserve"> | </w:t>
    </w:r>
    <w:r>
      <w:rPr>
        <w:color w:val="17365D"/>
      </w:rPr>
      <w:fldChar w:fldCharType="begin"/>
    </w:r>
    <w:r>
      <w:rPr>
        <w:color w:val="17365D"/>
      </w:rPr>
      <w:instrText>NUMPAGES</w:instrText>
    </w:r>
    <w:r>
      <w:rPr>
        <w:color w:val="17365D"/>
      </w:rPr>
      <w:fldChar w:fldCharType="separate"/>
    </w:r>
    <w:r w:rsidR="007F0107">
      <w:rPr>
        <w:noProof/>
        <w:color w:val="17365D"/>
      </w:rPr>
      <w:t>4</w:t>
    </w:r>
    <w:r>
      <w:rPr>
        <w:color w:val="17365D"/>
      </w:rPr>
      <w:fldChar w:fldCharType="end"/>
    </w:r>
  </w:p>
  <w:p w14:paraId="7F5259BF" w14:textId="77777777" w:rsidR="00506645" w:rsidRDefault="00854FD9">
    <w:pPr>
      <w:pBdr>
        <w:top w:val="nil"/>
        <w:left w:val="nil"/>
        <w:bottom w:val="nil"/>
        <w:right w:val="nil"/>
        <w:between w:val="nil"/>
      </w:pBdr>
      <w:tabs>
        <w:tab w:val="center" w:pos="4320"/>
        <w:tab w:val="right" w:pos="8640"/>
      </w:tabs>
      <w:rPr>
        <w:color w:val="000000"/>
      </w:rPr>
    </w:pPr>
    <w:r>
      <w:rPr>
        <w:color w:val="000000"/>
      </w:rPr>
      <w:t>202</w:t>
    </w:r>
    <w:r>
      <w:t>6</w:t>
    </w:r>
    <w:r>
      <w:rPr>
        <w:color w:val="000000"/>
      </w:rPr>
      <w:t>-</w:t>
    </w:r>
    <w:r>
      <w:t>10</w:t>
    </w:r>
    <w:r>
      <w:rPr>
        <w:color w:val="000000"/>
      </w:rPr>
      <w:t>-</w:t>
    </w:r>
    <w:r>
      <w:t>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920D" w14:textId="77777777" w:rsidR="00511179" w:rsidRDefault="00511179">
      <w:r>
        <w:separator/>
      </w:r>
    </w:p>
  </w:footnote>
  <w:footnote w:type="continuationSeparator" w:id="0">
    <w:p w14:paraId="1AC2CCDB" w14:textId="77777777" w:rsidR="00511179" w:rsidRDefault="00511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03C09" w14:textId="77777777" w:rsidR="00506645" w:rsidRDefault="00506645">
    <w:pPr>
      <w:pBdr>
        <w:top w:val="nil"/>
        <w:left w:val="nil"/>
        <w:bottom w:val="nil"/>
        <w:right w:val="nil"/>
        <w:between w:val="nil"/>
      </w:pBdr>
      <w:tabs>
        <w:tab w:val="center" w:pos="4320"/>
        <w:tab w:val="right" w:pos="8640"/>
        <w:tab w:val="center" w:pos="4820"/>
        <w:tab w:val="right" w:pos="9603"/>
      </w:tabs>
      <w:rPr>
        <w:rFonts w:ascii="Calibri" w:eastAsia="Calibri" w:hAnsi="Calibri" w:cs="Calibri"/>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5D16" w14:textId="77777777" w:rsidR="00506645" w:rsidRDefault="00854FD9">
    <w:pPr>
      <w:pBdr>
        <w:top w:val="nil"/>
        <w:left w:val="nil"/>
        <w:bottom w:val="nil"/>
        <w:right w:val="nil"/>
        <w:between w:val="nil"/>
      </w:pBdr>
      <w:tabs>
        <w:tab w:val="center" w:pos="4320"/>
        <w:tab w:val="right" w:pos="8640"/>
        <w:tab w:val="center" w:pos="4820"/>
        <w:tab w:val="right" w:pos="9603"/>
      </w:tabs>
      <w:rPr>
        <w:rFonts w:ascii="Calibri" w:eastAsia="Calibri" w:hAnsi="Calibri" w:cs="Calibri"/>
        <w:color w:val="000000"/>
        <w:sz w:val="20"/>
        <w:szCs w:val="20"/>
      </w:rPr>
    </w:pPr>
    <w:r>
      <w:rPr>
        <w:rFonts w:ascii="Calibri" w:eastAsia="Calibri" w:hAnsi="Calibri" w:cs="Calibri"/>
        <w:color w:val="000000"/>
        <w:sz w:val="20"/>
        <w:szCs w:val="20"/>
      </w:rPr>
      <w:tab/>
    </w:r>
    <w:r>
      <w:rPr>
        <w:noProof/>
        <w:color w:val="000000"/>
      </w:rPr>
      <w:drawing>
        <wp:inline distT="0" distB="0" distL="0" distR="0" wp14:anchorId="091DBED5" wp14:editId="552EACB9">
          <wp:extent cx="603523" cy="660325"/>
          <wp:effectExtent l="0" t="0" r="0" b="0"/>
          <wp:docPr id="1" name="image1.png" descr="{{{coat_alt}}}"/>
          <wp:cNvGraphicFramePr/>
          <a:graphic xmlns:a="http://schemas.openxmlformats.org/drawingml/2006/main">
            <a:graphicData uri="http://schemas.openxmlformats.org/drawingml/2006/picture">
              <pic:pic xmlns:pic="http://schemas.openxmlformats.org/drawingml/2006/picture">
                <pic:nvPicPr>
                  <pic:cNvPr id="0" name="image1.png" descr="{{{coat_alt}}}"/>
                  <pic:cNvPicPr preferRelativeResize="0"/>
                </pic:nvPicPr>
                <pic:blipFill>
                  <a:blip r:embed="rId1"/>
                  <a:srcRect/>
                  <a:stretch>
                    <a:fillRect/>
                  </a:stretch>
                </pic:blipFill>
                <pic:spPr>
                  <a:xfrm>
                    <a:off x="0" y="0"/>
                    <a:ext cx="603523" cy="660325"/>
                  </a:xfrm>
                  <a:prstGeom prst="rect">
                    <a:avLst/>
                  </a:prstGeom>
                  <a:ln/>
                </pic:spPr>
              </pic:pic>
            </a:graphicData>
          </a:graphic>
        </wp:inline>
      </w:drawing>
    </w:r>
    <w:r>
      <w:rPr>
        <w:rFonts w:ascii="Calibri" w:eastAsia="Calibri" w:hAnsi="Calibri" w:cs="Calibri"/>
        <w:color w:val="000000"/>
        <w:sz w:val="20"/>
        <w:szCs w:val="20"/>
      </w:rPr>
      <w:tab/>
    </w:r>
  </w:p>
  <w:p w14:paraId="2676F8A6" w14:textId="77777777" w:rsidR="00506645" w:rsidRDefault="00506645">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4AFD"/>
    <w:multiLevelType w:val="multilevel"/>
    <w:tmpl w:val="18A249C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FE505BC"/>
    <w:multiLevelType w:val="multilevel"/>
    <w:tmpl w:val="71CABD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8C74A2"/>
    <w:multiLevelType w:val="hybridMultilevel"/>
    <w:tmpl w:val="9D8A5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1D23F2"/>
    <w:multiLevelType w:val="multilevel"/>
    <w:tmpl w:val="6268C0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CB66F57"/>
    <w:multiLevelType w:val="multilevel"/>
    <w:tmpl w:val="4B5A41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50E0D3C"/>
    <w:multiLevelType w:val="multilevel"/>
    <w:tmpl w:val="AFE2FD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33D41A5"/>
    <w:multiLevelType w:val="multilevel"/>
    <w:tmpl w:val="0DE45F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95232719">
    <w:abstractNumId w:val="4"/>
  </w:num>
  <w:num w:numId="2" w16cid:durableId="1610966031">
    <w:abstractNumId w:val="3"/>
  </w:num>
  <w:num w:numId="3" w16cid:durableId="1638876207">
    <w:abstractNumId w:val="6"/>
  </w:num>
  <w:num w:numId="4" w16cid:durableId="193541014">
    <w:abstractNumId w:val="5"/>
  </w:num>
  <w:num w:numId="5" w16cid:durableId="1231118781">
    <w:abstractNumId w:val="1"/>
  </w:num>
  <w:num w:numId="6" w16cid:durableId="510920412">
    <w:abstractNumId w:val="0"/>
  </w:num>
  <w:num w:numId="7" w16cid:durableId="1669165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645"/>
    <w:rsid w:val="000B48C3"/>
    <w:rsid w:val="001B0466"/>
    <w:rsid w:val="001C26A6"/>
    <w:rsid w:val="001D41A9"/>
    <w:rsid w:val="00226CC4"/>
    <w:rsid w:val="00294082"/>
    <w:rsid w:val="002E00C7"/>
    <w:rsid w:val="002F6EC2"/>
    <w:rsid w:val="00305876"/>
    <w:rsid w:val="00316BE9"/>
    <w:rsid w:val="003209CC"/>
    <w:rsid w:val="003C5250"/>
    <w:rsid w:val="003D7EE3"/>
    <w:rsid w:val="003E4A04"/>
    <w:rsid w:val="00405005"/>
    <w:rsid w:val="004113BA"/>
    <w:rsid w:val="004C5719"/>
    <w:rsid w:val="00506645"/>
    <w:rsid w:val="00511179"/>
    <w:rsid w:val="00561ED1"/>
    <w:rsid w:val="005F200D"/>
    <w:rsid w:val="007F0107"/>
    <w:rsid w:val="00854FD9"/>
    <w:rsid w:val="00857AB8"/>
    <w:rsid w:val="00B15341"/>
    <w:rsid w:val="00B60243"/>
    <w:rsid w:val="00B95816"/>
    <w:rsid w:val="00C75841"/>
    <w:rsid w:val="00CC21C3"/>
    <w:rsid w:val="00D330F9"/>
    <w:rsid w:val="00D36F02"/>
    <w:rsid w:val="00D465D5"/>
    <w:rsid w:val="00E33590"/>
    <w:rsid w:val="00E828D0"/>
    <w:rsid w:val="00F55BC4"/>
    <w:rsid w:val="00FA2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6AD09"/>
  <w15:docId w15:val="{A8306C01-9D08-4CCA-98CD-A8C0185D4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before="240" w:after="240"/>
      <w:jc w:val="center"/>
      <w:outlineLvl w:val="0"/>
    </w:pPr>
    <w:rPr>
      <w:rFonts w:ascii="Calibri" w:eastAsia="Calibri" w:hAnsi="Calibri" w:cs="Calibri"/>
      <w:b/>
      <w:bCs/>
      <w:color w:val="000000"/>
      <w:sz w:val="36"/>
      <w:szCs w:val="36"/>
    </w:rPr>
  </w:style>
  <w:style w:type="paragraph" w:styleId="Heading2">
    <w:name w:val="heading 2"/>
    <w:basedOn w:val="Normal"/>
    <w:next w:val="Normal"/>
    <w:pPr>
      <w:keepNext/>
      <w:keepLines/>
      <w:pBdr>
        <w:top w:val="nil"/>
        <w:left w:val="nil"/>
        <w:bottom w:val="nil"/>
        <w:right w:val="nil"/>
        <w:between w:val="nil"/>
      </w:pBdr>
      <w:spacing w:before="360" w:after="240"/>
      <w:outlineLvl w:val="1"/>
    </w:pPr>
    <w:rPr>
      <w:rFonts w:ascii="Calibri" w:eastAsia="Calibri" w:hAnsi="Calibri" w:cs="Calibri"/>
      <w:b/>
      <w:bCs/>
      <w:color w:val="000000"/>
      <w:sz w:val="32"/>
      <w:szCs w:val="32"/>
    </w:rPr>
  </w:style>
  <w:style w:type="paragraph" w:styleId="Heading3">
    <w:name w:val="heading 3"/>
    <w:basedOn w:val="Normal"/>
    <w:next w:val="Normal"/>
    <w:pPr>
      <w:keepNext/>
      <w:keepLines/>
      <w:pBdr>
        <w:top w:val="nil"/>
        <w:left w:val="nil"/>
        <w:bottom w:val="nil"/>
        <w:right w:val="nil"/>
        <w:between w:val="nil"/>
      </w:pBdr>
      <w:spacing w:before="360" w:after="240"/>
      <w:outlineLvl w:val="2"/>
    </w:pPr>
    <w:rPr>
      <w:rFonts w:ascii="Calibri" w:eastAsia="Calibri" w:hAnsi="Calibri" w:cs="Calibri"/>
      <w:b/>
      <w:bCs/>
      <w:color w:val="000000"/>
      <w:sz w:val="26"/>
      <w:szCs w:val="26"/>
    </w:rPr>
  </w:style>
  <w:style w:type="paragraph" w:styleId="Heading4">
    <w:name w:val="heading 4"/>
    <w:basedOn w:val="Normal"/>
    <w:next w:val="Normal"/>
    <w:pPr>
      <w:keepNext/>
      <w:keepLines/>
      <w:pBdr>
        <w:top w:val="nil"/>
        <w:left w:val="nil"/>
        <w:bottom w:val="nil"/>
        <w:right w:val="nil"/>
        <w:between w:val="nil"/>
      </w:pBdr>
      <w:spacing w:before="240" w:after="120"/>
      <w:outlineLvl w:val="3"/>
    </w:pPr>
    <w:rPr>
      <w:rFonts w:ascii="Calibri" w:eastAsia="Calibri" w:hAnsi="Calibri" w:cs="Calibri"/>
      <w:b/>
      <w:bCs/>
      <w:i/>
      <w:iCs/>
      <w:color w:val="000000"/>
    </w:rPr>
  </w:style>
  <w:style w:type="paragraph" w:styleId="Heading5">
    <w:name w:val="heading 5"/>
    <w:basedOn w:val="Normal"/>
    <w:next w:val="Normal"/>
    <w:pPr>
      <w:spacing w:after="240"/>
      <w:outlineLvl w:val="4"/>
    </w:pPr>
  </w:style>
  <w:style w:type="paragraph" w:styleId="Heading6">
    <w:name w:val="heading 6"/>
    <w:basedOn w:val="Normal"/>
    <w:next w:val="Normal"/>
    <w:pPr>
      <w:spacing w:after="240"/>
      <w:ind w:left="1440" w:hanging="72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4C57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Pages>
  <Words>784</Words>
  <Characters>4469</Characters>
  <Application>Microsoft Office Word</Application>
  <DocSecurity>0</DocSecurity>
  <Lines>37</Lines>
  <Paragraphs>10</Paragraphs>
  <ScaleCrop>false</ScaleCrop>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Maketara Toromon</cp:lastModifiedBy>
  <cp:revision>28</cp:revision>
  <dcterms:created xsi:type="dcterms:W3CDTF">2026-10-11T22:19:00Z</dcterms:created>
  <dcterms:modified xsi:type="dcterms:W3CDTF">2026-10-13T09:17:00Z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0x010100900D6753842E9B4F8701A86178E9952B</vt:lpwstr>
  </property>
</Properties>
</file>